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961" w:rsidRPr="00846A70" w:rsidRDefault="00676961" w:rsidP="001E336A">
      <w:pPr>
        <w:pStyle w:val="Elementa1"/>
        <w:tabs>
          <w:tab w:val="left" w:pos="2410"/>
        </w:tabs>
        <w:spacing w:after="200" w:line="276" w:lineRule="auto"/>
        <w:rPr>
          <w:rFonts w:ascii="Times New Roman" w:hAnsi="Times New Roman"/>
          <w:sz w:val="24"/>
          <w:szCs w:val="24"/>
          <w:lang w:val="es-ES_tradnl"/>
        </w:rPr>
      </w:pPr>
    </w:p>
    <w:p w:rsidR="00676961" w:rsidRPr="00846A70" w:rsidRDefault="00676961" w:rsidP="00846A70">
      <w:pPr>
        <w:spacing w:before="100" w:beforeAutospacing="1" w:after="100" w:afterAutospacing="1"/>
        <w:jc w:val="center"/>
        <w:rPr>
          <w:rFonts w:ascii="Times New Roman" w:hAnsi="Times New Roman" w:cs="Times New Roman"/>
          <w:color w:val="000090"/>
          <w:sz w:val="36"/>
          <w:szCs w:val="36"/>
        </w:rPr>
      </w:pPr>
      <w:r w:rsidRPr="00846A70">
        <w:rPr>
          <w:rFonts w:ascii="Times New Roman" w:hAnsi="Times New Roman" w:cs="Times New Roman"/>
          <w:color w:val="000090"/>
          <w:sz w:val="36"/>
          <w:szCs w:val="36"/>
        </w:rPr>
        <w:t xml:space="preserve"> </w:t>
      </w:r>
    </w:p>
    <w:p w:rsidR="00676961" w:rsidRPr="00846A70" w:rsidRDefault="00676961" w:rsidP="00846A70">
      <w:pPr>
        <w:spacing w:before="100" w:beforeAutospacing="1" w:after="100" w:afterAutospacing="1"/>
        <w:jc w:val="center"/>
        <w:rPr>
          <w:rFonts w:ascii="Times New Roman" w:hAnsi="Times New Roman" w:cs="Times New Roman"/>
          <w:color w:val="000090"/>
          <w:sz w:val="36"/>
          <w:szCs w:val="36"/>
        </w:rPr>
      </w:pPr>
    </w:p>
    <w:p w:rsidR="00676961" w:rsidRPr="00846A70" w:rsidRDefault="00676961" w:rsidP="00846A70">
      <w:pPr>
        <w:spacing w:before="100" w:beforeAutospacing="1" w:after="100" w:afterAutospacing="1"/>
        <w:jc w:val="center"/>
        <w:rPr>
          <w:rFonts w:ascii="Times New Roman" w:hAnsi="Times New Roman" w:cs="Times New Roman"/>
          <w:b/>
          <w:color w:val="000090"/>
          <w:sz w:val="36"/>
          <w:szCs w:val="36"/>
        </w:rPr>
      </w:pPr>
      <w:r w:rsidRPr="00846A70">
        <w:rPr>
          <w:rFonts w:ascii="Times New Roman" w:hAnsi="Times New Roman" w:cs="Times New Roman"/>
          <w:b/>
          <w:color w:val="000090"/>
          <w:sz w:val="36"/>
          <w:szCs w:val="36"/>
        </w:rPr>
        <w:t xml:space="preserve">Escrito </w:t>
      </w:r>
      <w:r w:rsidRPr="00846A70">
        <w:rPr>
          <w:rFonts w:ascii="Times New Roman" w:hAnsi="Times New Roman" w:cs="Times New Roman"/>
          <w:b/>
          <w:i/>
          <w:color w:val="000090"/>
          <w:sz w:val="36"/>
          <w:szCs w:val="36"/>
        </w:rPr>
        <w:t>Amicus Curiae</w:t>
      </w:r>
      <w:r w:rsidRPr="00846A70">
        <w:rPr>
          <w:rFonts w:ascii="Times New Roman" w:hAnsi="Times New Roman" w:cs="Times New Roman"/>
          <w:b/>
          <w:color w:val="000090"/>
          <w:sz w:val="36"/>
          <w:szCs w:val="36"/>
        </w:rPr>
        <w:t xml:space="preserve"> ante la Corte Interamericana de Derechos Humanos</w:t>
      </w:r>
    </w:p>
    <w:p w:rsidR="00676961" w:rsidRPr="00846A70" w:rsidRDefault="00676961" w:rsidP="00846A70">
      <w:pPr>
        <w:spacing w:before="100" w:beforeAutospacing="1" w:after="100" w:afterAutospacing="1"/>
        <w:jc w:val="center"/>
        <w:rPr>
          <w:rFonts w:ascii="Times New Roman" w:hAnsi="Times New Roman" w:cs="Times New Roman"/>
          <w:b/>
          <w:color w:val="000090"/>
          <w:sz w:val="36"/>
          <w:szCs w:val="36"/>
        </w:rPr>
      </w:pPr>
    </w:p>
    <w:p w:rsidR="00676961" w:rsidRPr="00846A70" w:rsidRDefault="00676961" w:rsidP="00846A70">
      <w:pPr>
        <w:spacing w:before="100" w:beforeAutospacing="1" w:after="100" w:afterAutospacing="1"/>
        <w:jc w:val="center"/>
        <w:rPr>
          <w:rFonts w:ascii="Times New Roman" w:hAnsi="Times New Roman" w:cs="Times New Roman"/>
          <w:b/>
          <w:color w:val="000090"/>
          <w:sz w:val="36"/>
          <w:szCs w:val="36"/>
        </w:rPr>
      </w:pPr>
    </w:p>
    <w:p w:rsidR="00676961" w:rsidRPr="00846A70" w:rsidRDefault="00676961" w:rsidP="00846A70">
      <w:pPr>
        <w:spacing w:before="100" w:beforeAutospacing="1" w:after="100" w:afterAutospacing="1"/>
        <w:jc w:val="center"/>
        <w:rPr>
          <w:rFonts w:ascii="Times New Roman" w:hAnsi="Times New Roman" w:cs="Times New Roman"/>
          <w:b/>
          <w:color w:val="000090"/>
          <w:sz w:val="36"/>
          <w:szCs w:val="36"/>
        </w:rPr>
      </w:pPr>
    </w:p>
    <w:p w:rsidR="00676961" w:rsidRPr="00846A70" w:rsidRDefault="00F36620" w:rsidP="00846A70">
      <w:pPr>
        <w:spacing w:before="100" w:beforeAutospacing="1" w:after="100" w:afterAutospacing="1"/>
        <w:jc w:val="center"/>
        <w:rPr>
          <w:rFonts w:ascii="Times New Roman" w:hAnsi="Times New Roman" w:cs="Times New Roman"/>
          <w:b/>
          <w:color w:val="000090"/>
          <w:sz w:val="36"/>
          <w:szCs w:val="36"/>
        </w:rPr>
      </w:pPr>
      <w:r w:rsidRPr="00846A70">
        <w:rPr>
          <w:rFonts w:ascii="Times New Roman" w:hAnsi="Times New Roman" w:cs="Times New Roman"/>
          <w:b/>
          <w:color w:val="000090"/>
          <w:sz w:val="36"/>
          <w:szCs w:val="36"/>
        </w:rPr>
        <w:t>Caso Fernández Prieto y otro Vs. Argentina</w:t>
      </w:r>
    </w:p>
    <w:p w:rsidR="00676961" w:rsidRPr="00846A70" w:rsidRDefault="00676961" w:rsidP="00846A70">
      <w:pPr>
        <w:spacing w:before="100" w:beforeAutospacing="1" w:after="100" w:afterAutospacing="1"/>
        <w:jc w:val="center"/>
        <w:rPr>
          <w:rFonts w:ascii="Times New Roman" w:hAnsi="Times New Roman" w:cs="Times New Roman"/>
          <w:b/>
          <w:color w:val="000090"/>
          <w:sz w:val="36"/>
          <w:szCs w:val="36"/>
        </w:rPr>
      </w:pPr>
    </w:p>
    <w:p w:rsidR="00676961" w:rsidRPr="00846A70" w:rsidRDefault="00676961" w:rsidP="00846A70">
      <w:pPr>
        <w:spacing w:before="100" w:beforeAutospacing="1" w:after="100" w:afterAutospacing="1"/>
        <w:jc w:val="center"/>
        <w:rPr>
          <w:rFonts w:ascii="Times New Roman" w:hAnsi="Times New Roman" w:cs="Times New Roman"/>
          <w:b/>
          <w:color w:val="000090"/>
          <w:sz w:val="36"/>
          <w:szCs w:val="36"/>
        </w:rPr>
      </w:pPr>
    </w:p>
    <w:p w:rsidR="00676961" w:rsidRPr="00846A70" w:rsidRDefault="0094478E" w:rsidP="00846A70">
      <w:pPr>
        <w:spacing w:before="100" w:beforeAutospacing="1" w:after="100" w:afterAutospacing="1"/>
        <w:jc w:val="center"/>
        <w:rPr>
          <w:rFonts w:ascii="Times New Roman" w:hAnsi="Times New Roman" w:cs="Times New Roman"/>
          <w:b/>
          <w:color w:val="000090"/>
          <w:sz w:val="36"/>
          <w:szCs w:val="36"/>
        </w:rPr>
      </w:pPr>
      <w:r w:rsidRPr="00846A70">
        <w:rPr>
          <w:rFonts w:ascii="Times New Roman" w:hAnsi="Times New Roman" w:cs="Times New Roman"/>
          <w:b/>
          <w:color w:val="000090"/>
          <w:sz w:val="36"/>
          <w:szCs w:val="36"/>
        </w:rPr>
        <w:t>26</w:t>
      </w:r>
      <w:r w:rsidR="00F36620" w:rsidRPr="00846A70">
        <w:rPr>
          <w:rFonts w:ascii="Times New Roman" w:hAnsi="Times New Roman" w:cs="Times New Roman"/>
          <w:b/>
          <w:color w:val="000090"/>
          <w:sz w:val="36"/>
          <w:szCs w:val="36"/>
        </w:rPr>
        <w:t xml:space="preserve"> de marzo de 2020</w:t>
      </w:r>
    </w:p>
    <w:p w:rsidR="00676961" w:rsidRPr="00846A70" w:rsidRDefault="00676961" w:rsidP="00846A70">
      <w:pPr>
        <w:spacing w:before="100" w:beforeAutospacing="1" w:after="100" w:afterAutospacing="1"/>
        <w:jc w:val="right"/>
        <w:rPr>
          <w:rFonts w:ascii="Times New Roman" w:hAnsi="Times New Roman" w:cs="Times New Roman"/>
          <w:sz w:val="24"/>
          <w:szCs w:val="24"/>
        </w:rPr>
      </w:pPr>
    </w:p>
    <w:p w:rsidR="00676961" w:rsidRPr="00846A70" w:rsidRDefault="00676961" w:rsidP="00846A70">
      <w:pPr>
        <w:spacing w:before="100" w:beforeAutospacing="1" w:after="100" w:afterAutospacing="1"/>
        <w:jc w:val="right"/>
        <w:rPr>
          <w:rFonts w:ascii="Times New Roman" w:hAnsi="Times New Roman" w:cs="Times New Roman"/>
          <w:sz w:val="24"/>
          <w:szCs w:val="24"/>
        </w:rPr>
      </w:pPr>
    </w:p>
    <w:p w:rsidR="00676961" w:rsidRPr="00846A70" w:rsidRDefault="00676961" w:rsidP="00846A70">
      <w:pPr>
        <w:spacing w:before="100" w:beforeAutospacing="1" w:after="100" w:afterAutospacing="1"/>
        <w:jc w:val="right"/>
        <w:rPr>
          <w:rFonts w:ascii="Times New Roman" w:hAnsi="Times New Roman" w:cs="Times New Roman"/>
          <w:sz w:val="24"/>
          <w:szCs w:val="24"/>
        </w:rPr>
      </w:pPr>
    </w:p>
    <w:p w:rsidR="00BE5EEE" w:rsidRDefault="00BE5EEE" w:rsidP="00EF0DCC">
      <w:pPr>
        <w:jc w:val="center"/>
        <w:rPr>
          <w:rFonts w:ascii="Times New Roman" w:hAnsi="Times New Roman" w:cs="Times New Roman"/>
          <w:b/>
          <w:lang w:val="es-ES"/>
        </w:rPr>
      </w:pPr>
    </w:p>
    <w:p w:rsidR="00611C01" w:rsidRDefault="00611C01" w:rsidP="00EF0DCC">
      <w:pPr>
        <w:jc w:val="center"/>
        <w:rPr>
          <w:rFonts w:ascii="Times New Roman" w:hAnsi="Times New Roman" w:cs="Times New Roman"/>
          <w:b/>
          <w:lang w:val="es-ES"/>
        </w:rPr>
      </w:pPr>
    </w:p>
    <w:p w:rsidR="00611C01" w:rsidRDefault="00611C01" w:rsidP="00EF0DCC">
      <w:pPr>
        <w:jc w:val="center"/>
        <w:rPr>
          <w:rFonts w:ascii="Times New Roman" w:hAnsi="Times New Roman" w:cs="Times New Roman"/>
          <w:lang w:val="es-ES"/>
        </w:rPr>
      </w:pPr>
    </w:p>
    <w:p w:rsidR="00611C01" w:rsidRDefault="00611C01" w:rsidP="00EF0DCC">
      <w:pPr>
        <w:jc w:val="center"/>
        <w:rPr>
          <w:rFonts w:ascii="Times New Roman" w:hAnsi="Times New Roman" w:cs="Times New Roman"/>
          <w:lang w:val="es-ES"/>
        </w:rPr>
      </w:pPr>
    </w:p>
    <w:p w:rsidR="00611C01" w:rsidRDefault="00611C01" w:rsidP="00EF0DCC">
      <w:pPr>
        <w:jc w:val="center"/>
        <w:rPr>
          <w:rFonts w:ascii="Times New Roman" w:hAnsi="Times New Roman" w:cs="Times New Roman"/>
          <w:lang w:val="es-ES"/>
        </w:rPr>
      </w:pPr>
    </w:p>
    <w:p w:rsidR="00611C01" w:rsidRDefault="00611C01" w:rsidP="00EF0DCC">
      <w:pPr>
        <w:jc w:val="center"/>
        <w:rPr>
          <w:rFonts w:ascii="Times New Roman" w:hAnsi="Times New Roman" w:cs="Times New Roman"/>
          <w:lang w:val="es-ES"/>
        </w:rPr>
      </w:pPr>
    </w:p>
    <w:p w:rsidR="00611C01" w:rsidRDefault="00611C01" w:rsidP="00EF0DCC">
      <w:pPr>
        <w:jc w:val="center"/>
        <w:rPr>
          <w:rFonts w:ascii="Times New Roman" w:hAnsi="Times New Roman" w:cs="Times New Roman"/>
          <w:lang w:val="es-ES"/>
        </w:rPr>
      </w:pPr>
    </w:p>
    <w:p w:rsidR="00F31721" w:rsidRPr="00EF0DCC" w:rsidRDefault="00EF0DCC" w:rsidP="00EF0DCC">
      <w:pPr>
        <w:jc w:val="center"/>
        <w:rPr>
          <w:rFonts w:ascii="Times New Roman" w:hAnsi="Times New Roman" w:cs="Times New Roman"/>
          <w:lang w:val="es-ES"/>
        </w:rPr>
      </w:pPr>
      <w:r>
        <w:rPr>
          <w:rFonts w:ascii="Times New Roman" w:hAnsi="Times New Roman" w:cs="Times New Roman"/>
          <w:lang w:val="es-ES"/>
        </w:rPr>
        <w:lastRenderedPageBreak/>
        <w:t xml:space="preserve">                                                                                                        </w:t>
      </w:r>
    </w:p>
    <w:p w:rsidR="00F31721" w:rsidRPr="00F31721" w:rsidRDefault="00F36620" w:rsidP="00F31721">
      <w:pPr>
        <w:pStyle w:val="Elementa2"/>
        <w:numPr>
          <w:ilvl w:val="0"/>
          <w:numId w:val="14"/>
        </w:numPr>
        <w:spacing w:line="276" w:lineRule="auto"/>
        <w:rPr>
          <w:rFonts w:ascii="Times New Roman" w:hAnsi="Times New Roman"/>
        </w:rPr>
      </w:pPr>
      <w:r w:rsidRPr="00846A70">
        <w:rPr>
          <w:rFonts w:ascii="Times New Roman" w:hAnsi="Times New Roman"/>
        </w:rPr>
        <w:t xml:space="preserve">Presentación del escrito en calidad de </w:t>
      </w:r>
      <w:r w:rsidRPr="00846A70">
        <w:rPr>
          <w:rFonts w:ascii="Times New Roman" w:hAnsi="Times New Roman"/>
          <w:i/>
        </w:rPr>
        <w:t>Amicus Curiae</w:t>
      </w:r>
    </w:p>
    <w:p w:rsidR="00F31721" w:rsidRPr="00473C0A" w:rsidRDefault="00F31721" w:rsidP="00F31721">
      <w:pPr>
        <w:pStyle w:val="Elementa2"/>
        <w:spacing w:line="276" w:lineRule="auto"/>
        <w:ind w:left="360"/>
        <w:rPr>
          <w:rFonts w:ascii="Times New Roman" w:hAnsi="Times New Roman"/>
        </w:rPr>
      </w:pPr>
    </w:p>
    <w:p w:rsidR="00F31721" w:rsidRPr="00473C0A" w:rsidRDefault="00F31721" w:rsidP="00F31721">
      <w:pPr>
        <w:jc w:val="both"/>
        <w:rPr>
          <w:rFonts w:ascii="Times New Roman" w:hAnsi="Times New Roman" w:cs="Times New Roman"/>
          <w:color w:val="auto"/>
        </w:rPr>
      </w:pPr>
      <w:r w:rsidRPr="00473C0A">
        <w:rPr>
          <w:rFonts w:ascii="Times New Roman" w:hAnsi="Times New Roman" w:cs="Times New Roman"/>
          <w:i/>
          <w:color w:val="auto"/>
        </w:rPr>
        <w:t>Elementa DDHH, Consultoría en Derechos</w:t>
      </w:r>
      <w:r w:rsidRPr="00473C0A">
        <w:rPr>
          <w:rFonts w:ascii="Times New Roman" w:hAnsi="Times New Roman" w:cs="Times New Roman"/>
          <w:color w:val="auto"/>
        </w:rPr>
        <w:t>, es una organización civil con sede en Colombia y México que trabaja desde un enfoque socio-jurídico y político, para aportar a la construcción y fortalecimiento regional de los derechos humanos. </w:t>
      </w:r>
    </w:p>
    <w:p w:rsidR="00F31721" w:rsidRDefault="00F31721" w:rsidP="00F31721">
      <w:pPr>
        <w:jc w:val="both"/>
        <w:rPr>
          <w:rFonts w:ascii="Times New Roman" w:hAnsi="Times New Roman" w:cs="Times New Roman"/>
        </w:rPr>
      </w:pPr>
      <w:r w:rsidRPr="00473C0A">
        <w:rPr>
          <w:rFonts w:ascii="Times New Roman" w:hAnsi="Times New Roman" w:cs="Times New Roman"/>
        </w:rPr>
        <w:t xml:space="preserve">El presente documento busca aportar a los argumentos presentados por la representación de las víctimas y dar herramientas de análisis a la Corte Interamericana de Derechos Humanos (Corte IDH) para que analice la responsabilidad internacional del Estado argentina en el caso Fernández Prieto y otro. </w:t>
      </w:r>
    </w:p>
    <w:p w:rsidR="00F31721" w:rsidRDefault="00F31721" w:rsidP="00F31721">
      <w:pPr>
        <w:jc w:val="both"/>
        <w:rPr>
          <w:rFonts w:ascii="Times New Roman" w:hAnsi="Times New Roman" w:cs="Times New Roman"/>
        </w:rPr>
      </w:pPr>
      <w:r>
        <w:rPr>
          <w:rFonts w:ascii="Times New Roman" w:hAnsi="Times New Roman" w:cs="Times New Roman"/>
        </w:rPr>
        <w:t>Para ello en primera medida se describen los hechos relacionados con las detenciones de los señores Carlos Alberto Fernández Prieto (CAFP) y Carlos Alejandro Tumbeiro (CAT) por el transporte y tenencia de sustancias psicoactivas respectivamente. En dicha descripción se analizan las diferentes declaraciones de los actores involucrados en la detención (policías, testigos de procedimiento y detenidos) así como la ruta del proceso penal y los argumentos de las diferentes instancias que emitieron decisiones judiciales.</w:t>
      </w:r>
    </w:p>
    <w:p w:rsidR="00F31721" w:rsidRPr="00F31721" w:rsidRDefault="00F31721" w:rsidP="00F31721">
      <w:pPr>
        <w:jc w:val="both"/>
        <w:rPr>
          <w:rFonts w:ascii="Times New Roman" w:hAnsi="Times New Roman" w:cs="Times New Roman"/>
          <w:color w:val="auto"/>
        </w:rPr>
      </w:pPr>
      <w:r>
        <w:rPr>
          <w:rFonts w:ascii="Times New Roman" w:hAnsi="Times New Roman" w:cs="Times New Roman"/>
        </w:rPr>
        <w:t>En segundo lugar, se construyó un apartado sobre el contexto en el que suceden las detenciones relacionadas con delitos de drogas como los de los señores Fernández Prieto y Tumbeiro. Dicho apartado se divide en tres apartados que buscan i) fundamentar la pertinencia de utilizar el contexto como herramienta de análisis para los casos bajo estudio de esta Corte IDH; ii) analizar tanto de la normativa en materia de política de drogas como la normativa de detención policial, así como el patrón de detenciones arbitrarias que ha generado y iii) visibilizar la importancia del análisis de la Corte IDH sobre los efectos de la política de drogas en los derechos humanos.</w:t>
      </w:r>
    </w:p>
    <w:p w:rsidR="00146862" w:rsidRPr="00846A70" w:rsidRDefault="00146862" w:rsidP="00846A70">
      <w:pPr>
        <w:pStyle w:val="Elementa2"/>
        <w:spacing w:line="276" w:lineRule="auto"/>
        <w:rPr>
          <w:rFonts w:ascii="Times New Roman" w:hAnsi="Times New Roman"/>
        </w:rPr>
      </w:pPr>
    </w:p>
    <w:p w:rsidR="001F6C87" w:rsidRPr="00846A70" w:rsidRDefault="00F36620" w:rsidP="002B7727">
      <w:pPr>
        <w:pStyle w:val="Elementa2"/>
        <w:numPr>
          <w:ilvl w:val="0"/>
          <w:numId w:val="14"/>
        </w:numPr>
        <w:spacing w:line="276" w:lineRule="auto"/>
        <w:rPr>
          <w:rFonts w:ascii="Times New Roman" w:hAnsi="Times New Roman"/>
        </w:rPr>
      </w:pPr>
      <w:r w:rsidRPr="00846A70">
        <w:rPr>
          <w:rFonts w:ascii="Times New Roman" w:hAnsi="Times New Roman"/>
        </w:rPr>
        <w:t>Hec</w:t>
      </w:r>
      <w:r w:rsidR="001F6C87" w:rsidRPr="00846A70">
        <w:rPr>
          <w:rFonts w:ascii="Times New Roman" w:hAnsi="Times New Roman"/>
        </w:rPr>
        <w:t>hos de los casos bajo estudio de la Corte IDH</w:t>
      </w:r>
      <w:r w:rsidR="002A36AB" w:rsidRPr="00846A70">
        <w:rPr>
          <w:rStyle w:val="Refdenotaalpie"/>
          <w:rFonts w:ascii="Times New Roman" w:hAnsi="Times New Roman"/>
        </w:rPr>
        <w:footnoteReference w:id="1"/>
      </w:r>
    </w:p>
    <w:p w:rsidR="001F6C87" w:rsidRPr="00846A70" w:rsidRDefault="001F6C87" w:rsidP="00846A70">
      <w:pPr>
        <w:pStyle w:val="Elementa2"/>
        <w:spacing w:line="276" w:lineRule="auto"/>
        <w:rPr>
          <w:rFonts w:ascii="Times New Roman" w:hAnsi="Times New Roman"/>
        </w:rPr>
      </w:pPr>
    </w:p>
    <w:p w:rsidR="00C90EF6" w:rsidRPr="00846A70" w:rsidRDefault="001F6C87" w:rsidP="00846A70">
      <w:pPr>
        <w:jc w:val="both"/>
        <w:rPr>
          <w:rFonts w:ascii="Times New Roman" w:hAnsi="Times New Roman" w:cs="Times New Roman"/>
        </w:rPr>
      </w:pPr>
      <w:r w:rsidRPr="00846A70">
        <w:rPr>
          <w:rFonts w:ascii="Times New Roman" w:hAnsi="Times New Roman" w:cs="Times New Roman"/>
        </w:rPr>
        <w:t xml:space="preserve">Como se desprende del Informe de Fondo presentado por la Comisión Interamericana de Derechos Humanos (CIDH), las detenciones de Carlos Alberto Fernández Prieto (CAFP) y Carlos Alejandro Tumbeiro (CAT) tuvieron lugar en el marco de las atribuciones discrecionales que el ordenamiento jurídico argentino da a la policía para detener personas en espacios públicos. </w:t>
      </w:r>
      <w:r w:rsidR="00803E5C" w:rsidRPr="00846A70">
        <w:rPr>
          <w:rFonts w:ascii="Times New Roman" w:hAnsi="Times New Roman" w:cs="Times New Roman"/>
        </w:rPr>
        <w:t xml:space="preserve"> Con el fin de evidenciar el impacto diferenciado que dichas atribuciones tienen en las detenciones relacionadas con posesión o tenencia de sustancias psicoactivas,</w:t>
      </w:r>
      <w:r w:rsidR="00845B50" w:rsidRPr="00846A70">
        <w:rPr>
          <w:rFonts w:ascii="Times New Roman" w:hAnsi="Times New Roman" w:cs="Times New Roman"/>
        </w:rPr>
        <w:t xml:space="preserve"> </w:t>
      </w:r>
      <w:r w:rsidR="00803E5C" w:rsidRPr="00846A70">
        <w:rPr>
          <w:rFonts w:ascii="Times New Roman" w:hAnsi="Times New Roman" w:cs="Times New Roman"/>
        </w:rPr>
        <w:t>a continuación,</w:t>
      </w:r>
      <w:r w:rsidR="00333CBA" w:rsidRPr="00846A70">
        <w:rPr>
          <w:rFonts w:ascii="Times New Roman" w:hAnsi="Times New Roman" w:cs="Times New Roman"/>
        </w:rPr>
        <w:t xml:space="preserve"> se detallan los hechos de la detención de cada uno de los casos bajo estudio de la Corte IDH. </w:t>
      </w:r>
    </w:p>
    <w:p w:rsidR="002D44A4" w:rsidRPr="00846A70" w:rsidRDefault="00333CBA" w:rsidP="00846A70">
      <w:pPr>
        <w:jc w:val="both"/>
        <w:rPr>
          <w:rFonts w:ascii="Times New Roman" w:hAnsi="Times New Roman" w:cs="Times New Roman"/>
        </w:rPr>
      </w:pPr>
      <w:r w:rsidRPr="00846A70">
        <w:rPr>
          <w:rFonts w:ascii="Times New Roman" w:hAnsi="Times New Roman" w:cs="Times New Roman"/>
        </w:rPr>
        <w:t xml:space="preserve">Para </w:t>
      </w:r>
      <w:r w:rsidR="00C90EF6" w:rsidRPr="00846A70">
        <w:rPr>
          <w:rFonts w:ascii="Times New Roman" w:hAnsi="Times New Roman" w:cs="Times New Roman"/>
        </w:rPr>
        <w:t>mayor claridad</w:t>
      </w:r>
      <w:r w:rsidR="001B29BF" w:rsidRPr="00846A70">
        <w:rPr>
          <w:rFonts w:ascii="Times New Roman" w:hAnsi="Times New Roman" w:cs="Times New Roman"/>
        </w:rPr>
        <w:t>,</w:t>
      </w:r>
      <w:r w:rsidR="00C90EF6" w:rsidRPr="00846A70">
        <w:rPr>
          <w:rFonts w:ascii="Times New Roman" w:hAnsi="Times New Roman" w:cs="Times New Roman"/>
        </w:rPr>
        <w:t xml:space="preserve"> a continuación,</w:t>
      </w:r>
      <w:r w:rsidR="001B29BF" w:rsidRPr="00846A70">
        <w:rPr>
          <w:rFonts w:ascii="Times New Roman" w:hAnsi="Times New Roman" w:cs="Times New Roman"/>
        </w:rPr>
        <w:t xml:space="preserve"> se exponen los</w:t>
      </w:r>
      <w:r w:rsidR="00A52A7E" w:rsidRPr="00846A70">
        <w:rPr>
          <w:rFonts w:ascii="Times New Roman" w:hAnsi="Times New Roman" w:cs="Times New Roman"/>
        </w:rPr>
        <w:t xml:space="preserve"> hechos generales y</w:t>
      </w:r>
      <w:r w:rsidRPr="00846A70">
        <w:rPr>
          <w:rFonts w:ascii="Times New Roman" w:hAnsi="Times New Roman" w:cs="Times New Roman"/>
        </w:rPr>
        <w:t xml:space="preserve"> un cuadro comparativo de tres perspe</w:t>
      </w:r>
      <w:r w:rsidR="001B29BF" w:rsidRPr="00846A70">
        <w:rPr>
          <w:rFonts w:ascii="Times New Roman" w:hAnsi="Times New Roman" w:cs="Times New Roman"/>
        </w:rPr>
        <w:t>ctivas sobre</w:t>
      </w:r>
      <w:r w:rsidR="00A52A7E" w:rsidRPr="00846A70">
        <w:rPr>
          <w:rFonts w:ascii="Times New Roman" w:hAnsi="Times New Roman" w:cs="Times New Roman"/>
        </w:rPr>
        <w:t xml:space="preserve"> los momentos posteriores a la detención</w:t>
      </w:r>
      <w:r w:rsidRPr="00846A70">
        <w:rPr>
          <w:rFonts w:ascii="Times New Roman" w:hAnsi="Times New Roman" w:cs="Times New Roman"/>
        </w:rPr>
        <w:t>: i) el informe redactado por la policía, ii) el informe r</w:t>
      </w:r>
      <w:r w:rsidR="00C90EF6" w:rsidRPr="00846A70">
        <w:rPr>
          <w:rFonts w:ascii="Times New Roman" w:hAnsi="Times New Roman" w:cs="Times New Roman"/>
        </w:rPr>
        <w:t>edactado por los testigos de procedimiento en cada caso</w:t>
      </w:r>
      <w:r w:rsidRPr="00846A70">
        <w:rPr>
          <w:rFonts w:ascii="Times New Roman" w:hAnsi="Times New Roman" w:cs="Times New Roman"/>
        </w:rPr>
        <w:t xml:space="preserve"> </w:t>
      </w:r>
      <w:r w:rsidR="00C90EF6" w:rsidRPr="00846A70">
        <w:rPr>
          <w:rFonts w:ascii="Times New Roman" w:hAnsi="Times New Roman" w:cs="Times New Roman"/>
        </w:rPr>
        <w:t>y iii) la declaración de</w:t>
      </w:r>
      <w:r w:rsidR="00624DDE" w:rsidRPr="00846A70">
        <w:rPr>
          <w:rFonts w:ascii="Times New Roman" w:hAnsi="Times New Roman" w:cs="Times New Roman"/>
        </w:rPr>
        <w:t xml:space="preserve"> cada uno de los detenidos.</w:t>
      </w:r>
      <w:r w:rsidR="002D44A4" w:rsidRPr="00846A70">
        <w:rPr>
          <w:rFonts w:ascii="Times New Roman" w:hAnsi="Times New Roman" w:cs="Times New Roman"/>
        </w:rPr>
        <w:t xml:space="preserve"> P</w:t>
      </w:r>
      <w:r w:rsidR="001B29BF" w:rsidRPr="00846A70">
        <w:rPr>
          <w:rFonts w:ascii="Times New Roman" w:hAnsi="Times New Roman" w:cs="Times New Roman"/>
        </w:rPr>
        <w:t>osteriormente, se incluye</w:t>
      </w:r>
      <w:r w:rsidR="002D44A4" w:rsidRPr="00846A70">
        <w:rPr>
          <w:rFonts w:ascii="Times New Roman" w:hAnsi="Times New Roman" w:cs="Times New Roman"/>
        </w:rPr>
        <w:t xml:space="preserve"> un resumen general del proceso penal seguido en contra de cada una de las víctimas de</w:t>
      </w:r>
      <w:bookmarkStart w:id="0" w:name="_GoBack"/>
      <w:bookmarkEnd w:id="0"/>
      <w:r w:rsidR="002D44A4" w:rsidRPr="00846A70">
        <w:rPr>
          <w:rFonts w:ascii="Times New Roman" w:hAnsi="Times New Roman" w:cs="Times New Roman"/>
        </w:rPr>
        <w:t>l presente caso</w:t>
      </w:r>
      <w:r w:rsidR="004A498D" w:rsidRPr="00846A70">
        <w:rPr>
          <w:rFonts w:ascii="Times New Roman" w:hAnsi="Times New Roman" w:cs="Times New Roman"/>
        </w:rPr>
        <w:t xml:space="preserve"> y las decisiones de las instancias </w:t>
      </w:r>
      <w:r w:rsidR="00C90EF6" w:rsidRPr="00846A70">
        <w:rPr>
          <w:rFonts w:ascii="Times New Roman" w:hAnsi="Times New Roman" w:cs="Times New Roman"/>
        </w:rPr>
        <w:t xml:space="preserve">judiciales </w:t>
      </w:r>
      <w:r w:rsidR="004A498D" w:rsidRPr="00846A70">
        <w:rPr>
          <w:rFonts w:ascii="Times New Roman" w:hAnsi="Times New Roman" w:cs="Times New Roman"/>
        </w:rPr>
        <w:t>correspondientes</w:t>
      </w:r>
      <w:r w:rsidR="002D44A4" w:rsidRPr="00846A70">
        <w:rPr>
          <w:rFonts w:ascii="Times New Roman" w:hAnsi="Times New Roman" w:cs="Times New Roman"/>
        </w:rPr>
        <w:t>.</w:t>
      </w:r>
    </w:p>
    <w:p w:rsidR="00B94A5E" w:rsidRPr="00846A70" w:rsidRDefault="00146862" w:rsidP="002B7727">
      <w:pPr>
        <w:pStyle w:val="Elementa3"/>
        <w:numPr>
          <w:ilvl w:val="0"/>
          <w:numId w:val="15"/>
        </w:numPr>
        <w:spacing w:line="276" w:lineRule="auto"/>
      </w:pPr>
      <w:r w:rsidRPr="00846A70">
        <w:lastRenderedPageBreak/>
        <w:t>Detención de Carlos Alberto Fernández Prieto</w:t>
      </w:r>
      <w:r w:rsidR="00E77A2B" w:rsidRPr="00846A70">
        <w:t xml:space="preserve"> y proceso penal en su contra</w:t>
      </w:r>
    </w:p>
    <w:p w:rsidR="00B94A5E" w:rsidRPr="00846A70" w:rsidRDefault="00B94A5E" w:rsidP="00846A70">
      <w:pPr>
        <w:pStyle w:val="Elementa3"/>
        <w:spacing w:line="276" w:lineRule="auto"/>
      </w:pPr>
    </w:p>
    <w:p w:rsidR="00C21CDB" w:rsidRPr="00846A70" w:rsidRDefault="00B94A5E" w:rsidP="00846A70">
      <w:pPr>
        <w:jc w:val="both"/>
        <w:rPr>
          <w:rFonts w:ascii="Times New Roman" w:hAnsi="Times New Roman" w:cs="Times New Roman"/>
          <w:lang w:val="es-MX"/>
        </w:rPr>
      </w:pPr>
      <w:r w:rsidRPr="00846A70">
        <w:rPr>
          <w:rFonts w:ascii="Times New Roman" w:hAnsi="Times New Roman" w:cs="Times New Roman"/>
          <w:lang w:val="es-MX"/>
        </w:rPr>
        <w:t xml:space="preserve">El 26 de mayo de 1992 </w:t>
      </w:r>
      <w:r w:rsidR="00A52A7E" w:rsidRPr="00846A70">
        <w:rPr>
          <w:rFonts w:ascii="Times New Roman" w:hAnsi="Times New Roman" w:cs="Times New Roman"/>
          <w:lang w:val="es-MX"/>
        </w:rPr>
        <w:t>alrededor de las 19</w:t>
      </w:r>
      <w:r w:rsidR="00D660E9" w:rsidRPr="00846A70">
        <w:rPr>
          <w:rFonts w:ascii="Times New Roman" w:hAnsi="Times New Roman" w:cs="Times New Roman"/>
          <w:lang w:val="es-MX"/>
        </w:rPr>
        <w:t>:00</w:t>
      </w:r>
      <w:r w:rsidR="00A52A7E" w:rsidRPr="00846A70">
        <w:rPr>
          <w:rFonts w:ascii="Times New Roman" w:hAnsi="Times New Roman" w:cs="Times New Roman"/>
          <w:lang w:val="es-MX"/>
        </w:rPr>
        <w:t xml:space="preserve"> horas</w:t>
      </w:r>
      <w:r w:rsidRPr="00846A70">
        <w:rPr>
          <w:rFonts w:ascii="Times New Roman" w:hAnsi="Times New Roman" w:cs="Times New Roman"/>
          <w:lang w:val="es-MX"/>
        </w:rPr>
        <w:t xml:space="preserve"> en una zona de Mar de Plata, Carlos Alberto Fernández Prieto junto con otras </w:t>
      </w:r>
      <w:r w:rsidR="00695804" w:rsidRPr="00846A70">
        <w:rPr>
          <w:rFonts w:ascii="Times New Roman" w:hAnsi="Times New Roman" w:cs="Times New Roman"/>
          <w:lang w:val="es-MX"/>
        </w:rPr>
        <w:t>dos</w:t>
      </w:r>
      <w:r w:rsidRPr="00846A70">
        <w:rPr>
          <w:rFonts w:ascii="Times New Roman" w:hAnsi="Times New Roman" w:cs="Times New Roman"/>
          <w:lang w:val="es-MX"/>
        </w:rPr>
        <w:t xml:space="preserve"> personas</w:t>
      </w:r>
      <w:r w:rsidR="00AC69F2" w:rsidRPr="00846A70">
        <w:rPr>
          <w:rFonts w:ascii="Times New Roman" w:hAnsi="Times New Roman" w:cs="Times New Roman"/>
          <w:lang w:val="es-MX"/>
        </w:rPr>
        <w:t>,</w:t>
      </w:r>
      <w:r w:rsidRPr="00846A70">
        <w:rPr>
          <w:rFonts w:ascii="Times New Roman" w:hAnsi="Times New Roman" w:cs="Times New Roman"/>
          <w:lang w:val="es-MX"/>
        </w:rPr>
        <w:t xml:space="preserve"> se encontraban a bordo de un auto Renault color verde por la calle 55 y Cabrera en la provincia de Buenos Aires</w:t>
      </w:r>
      <w:r w:rsidR="00AC69F2" w:rsidRPr="00846A70">
        <w:rPr>
          <w:rFonts w:ascii="Times New Roman" w:hAnsi="Times New Roman" w:cs="Times New Roman"/>
          <w:lang w:val="es-MX"/>
        </w:rPr>
        <w:t>. El auto fue intercep</w:t>
      </w:r>
      <w:r w:rsidR="00A52A7E" w:rsidRPr="00846A70">
        <w:rPr>
          <w:rFonts w:ascii="Times New Roman" w:hAnsi="Times New Roman" w:cs="Times New Roman"/>
          <w:lang w:val="es-MX"/>
        </w:rPr>
        <w:t xml:space="preserve">tado por </w:t>
      </w:r>
      <w:r w:rsidR="00585E9F" w:rsidRPr="00846A70">
        <w:rPr>
          <w:rFonts w:ascii="Times New Roman" w:hAnsi="Times New Roman" w:cs="Times New Roman"/>
          <w:lang w:val="es-MX"/>
        </w:rPr>
        <w:t xml:space="preserve">tres agentes policiales </w:t>
      </w:r>
      <w:r w:rsidR="00A52A7E" w:rsidRPr="00846A70">
        <w:rPr>
          <w:rFonts w:ascii="Times New Roman" w:hAnsi="Times New Roman" w:cs="Times New Roman"/>
          <w:lang w:val="es-MX"/>
        </w:rPr>
        <w:t>que se encontraban recorriendo la zona bajo su jurisdicci</w:t>
      </w:r>
      <w:r w:rsidR="00AC69F2" w:rsidRPr="00846A70">
        <w:rPr>
          <w:rFonts w:ascii="Times New Roman" w:hAnsi="Times New Roman" w:cs="Times New Roman"/>
          <w:lang w:val="es-MX"/>
        </w:rPr>
        <w:t>ón</w:t>
      </w:r>
      <w:r w:rsidR="00585E9F" w:rsidRPr="00846A70">
        <w:rPr>
          <w:rFonts w:ascii="Times New Roman" w:hAnsi="Times New Roman" w:cs="Times New Roman"/>
          <w:lang w:val="es-MX"/>
        </w:rPr>
        <w:t xml:space="preserve"> al</w:t>
      </w:r>
      <w:r w:rsidR="00AC69F2" w:rsidRPr="00846A70">
        <w:rPr>
          <w:rFonts w:ascii="Times New Roman" w:hAnsi="Times New Roman" w:cs="Times New Roman"/>
          <w:lang w:val="es-MX"/>
        </w:rPr>
        <w:t xml:space="preserve"> considerar que las personas a bordo, presentaban una actitud sospechosa. </w:t>
      </w:r>
    </w:p>
    <w:p w:rsidR="00CF5BAB" w:rsidRPr="00846A70" w:rsidRDefault="0093753D" w:rsidP="00846A70">
      <w:pPr>
        <w:jc w:val="both"/>
        <w:rPr>
          <w:rFonts w:ascii="Times New Roman" w:hAnsi="Times New Roman" w:cs="Times New Roman"/>
          <w:lang w:val="es-MX"/>
        </w:rPr>
      </w:pPr>
      <w:r w:rsidRPr="00846A70">
        <w:rPr>
          <w:rFonts w:ascii="Times New Roman" w:hAnsi="Times New Roman" w:cs="Times New Roman"/>
          <w:lang w:val="es-MX"/>
        </w:rPr>
        <w:t>Es importante señalar que, ni en el informe ni durante el proceso judicial, se detallaron las circunstancias concretas que dieron lugar a la intercepción, ni la infracción o delito relacionados con dicha sospecha.</w:t>
      </w:r>
      <w:r w:rsidR="00C21CDB" w:rsidRPr="00846A70">
        <w:rPr>
          <w:rFonts w:ascii="Times New Roman" w:hAnsi="Times New Roman" w:cs="Times New Roman"/>
          <w:lang w:val="es-MX"/>
        </w:rPr>
        <w:t xml:space="preserve"> </w:t>
      </w:r>
      <w:r w:rsidR="008D2BAF" w:rsidRPr="00846A70">
        <w:rPr>
          <w:rFonts w:ascii="Times New Roman" w:hAnsi="Times New Roman" w:cs="Times New Roman"/>
          <w:lang w:val="es-MX"/>
        </w:rPr>
        <w:t xml:space="preserve">Una vez que se interceptó el auto, los elementos de la policía obligaron </w:t>
      </w:r>
      <w:r w:rsidR="005A1122" w:rsidRPr="00846A70">
        <w:rPr>
          <w:rFonts w:ascii="Times New Roman" w:hAnsi="Times New Roman" w:cs="Times New Roman"/>
          <w:lang w:val="es-MX"/>
        </w:rPr>
        <w:t xml:space="preserve">a las personas a </w:t>
      </w:r>
      <w:r w:rsidR="008D2BAF" w:rsidRPr="00846A70">
        <w:rPr>
          <w:rFonts w:ascii="Times New Roman" w:hAnsi="Times New Roman" w:cs="Times New Roman"/>
          <w:lang w:val="es-MX"/>
        </w:rPr>
        <w:t>descender del auto, acreditaron la identidad de l</w:t>
      </w:r>
      <w:r w:rsidR="005A1122" w:rsidRPr="00846A70">
        <w:rPr>
          <w:rFonts w:ascii="Times New Roman" w:hAnsi="Times New Roman" w:cs="Times New Roman"/>
          <w:lang w:val="es-MX"/>
        </w:rPr>
        <w:t>as mismas</w:t>
      </w:r>
      <w:r w:rsidR="00C21CDB" w:rsidRPr="00846A70">
        <w:rPr>
          <w:rFonts w:ascii="Times New Roman" w:hAnsi="Times New Roman" w:cs="Times New Roman"/>
          <w:lang w:val="es-MX"/>
        </w:rPr>
        <w:t xml:space="preserve"> y llamaron a dos testigos. </w:t>
      </w:r>
      <w:r w:rsidR="008D2BAF" w:rsidRPr="00846A70">
        <w:rPr>
          <w:rFonts w:ascii="Times New Roman" w:hAnsi="Times New Roman" w:cs="Times New Roman"/>
          <w:lang w:val="es-MX"/>
        </w:rPr>
        <w:t xml:space="preserve"> </w:t>
      </w:r>
      <w:r w:rsidR="00C21CDB" w:rsidRPr="00846A70">
        <w:rPr>
          <w:rFonts w:ascii="Times New Roman" w:hAnsi="Times New Roman" w:cs="Times New Roman"/>
          <w:lang w:val="es-MX"/>
        </w:rPr>
        <w:t>A partir de dicho momento, se observan inconsistencias entre el informe de los policías, la versión de los testigos y la declaración del señor Fernández Prieto</w:t>
      </w:r>
      <w:r w:rsidR="00CF5BAB">
        <w:rPr>
          <w:rFonts w:ascii="Times New Roman" w:hAnsi="Times New Roman" w:cs="Times New Roman"/>
          <w:lang w:val="es-MX"/>
        </w:rPr>
        <w:t>.</w:t>
      </w:r>
      <w:r w:rsidR="00E64609" w:rsidRPr="00846A70">
        <w:rPr>
          <w:rStyle w:val="Refdenotaalpie"/>
          <w:rFonts w:ascii="Times New Roman" w:hAnsi="Times New Roman" w:cs="Times New Roman"/>
          <w:lang w:val="es-MX"/>
        </w:rPr>
        <w:footnoteReference w:id="2"/>
      </w:r>
    </w:p>
    <w:tbl>
      <w:tblPr>
        <w:tblStyle w:val="Tablaconcuadrcula"/>
        <w:tblW w:w="10065" w:type="dxa"/>
        <w:jc w:val="center"/>
        <w:tblLook w:val="04A0" w:firstRow="1" w:lastRow="0" w:firstColumn="1" w:lastColumn="0" w:noHBand="0" w:noVBand="1"/>
      </w:tblPr>
      <w:tblGrid>
        <w:gridCol w:w="1986"/>
        <w:gridCol w:w="2693"/>
        <w:gridCol w:w="2693"/>
        <w:gridCol w:w="2693"/>
      </w:tblGrid>
      <w:tr w:rsidR="00C21CDB" w:rsidRPr="00846A70" w:rsidTr="001B58FD">
        <w:trPr>
          <w:jc w:val="center"/>
        </w:trPr>
        <w:tc>
          <w:tcPr>
            <w:tcW w:w="1986" w:type="dxa"/>
          </w:tcPr>
          <w:p w:rsidR="00C21CDB" w:rsidRPr="00846A70" w:rsidRDefault="00C21CDB" w:rsidP="00846A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lang w:val="es-MX"/>
              </w:rPr>
            </w:pPr>
            <w:r w:rsidRPr="00846A70">
              <w:rPr>
                <w:rFonts w:ascii="Times New Roman" w:hAnsi="Times New Roman" w:cs="Times New Roman"/>
                <w:b/>
                <w:lang w:val="es-MX"/>
              </w:rPr>
              <w:t>Hecho</w:t>
            </w:r>
          </w:p>
        </w:tc>
        <w:tc>
          <w:tcPr>
            <w:tcW w:w="2693" w:type="dxa"/>
          </w:tcPr>
          <w:p w:rsidR="00C21CDB" w:rsidRPr="00846A70" w:rsidRDefault="00C21CDB" w:rsidP="00846A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lang w:val="es-MX"/>
              </w:rPr>
            </w:pPr>
            <w:r w:rsidRPr="00846A70">
              <w:rPr>
                <w:rFonts w:ascii="Times New Roman" w:hAnsi="Times New Roman" w:cs="Times New Roman"/>
                <w:b/>
                <w:lang w:val="es-MX"/>
              </w:rPr>
              <w:t>Policía</w:t>
            </w:r>
          </w:p>
        </w:tc>
        <w:tc>
          <w:tcPr>
            <w:tcW w:w="2693" w:type="dxa"/>
          </w:tcPr>
          <w:p w:rsidR="00C21CDB" w:rsidRPr="00846A70" w:rsidRDefault="00C21CDB" w:rsidP="00846A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lang w:val="es-MX"/>
              </w:rPr>
            </w:pPr>
            <w:r w:rsidRPr="00846A70">
              <w:rPr>
                <w:rFonts w:ascii="Times New Roman" w:hAnsi="Times New Roman" w:cs="Times New Roman"/>
                <w:b/>
                <w:lang w:val="es-MX"/>
              </w:rPr>
              <w:t>Testigos</w:t>
            </w:r>
          </w:p>
        </w:tc>
        <w:tc>
          <w:tcPr>
            <w:tcW w:w="2693" w:type="dxa"/>
          </w:tcPr>
          <w:p w:rsidR="00C21CDB" w:rsidRPr="00846A70" w:rsidRDefault="00C21CDB" w:rsidP="00846A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lang w:val="es-MX"/>
              </w:rPr>
            </w:pPr>
            <w:r w:rsidRPr="00846A70">
              <w:rPr>
                <w:rFonts w:ascii="Times New Roman" w:hAnsi="Times New Roman" w:cs="Times New Roman"/>
                <w:b/>
                <w:lang w:val="es-MX"/>
              </w:rPr>
              <w:t>Declaración CAFP</w:t>
            </w:r>
          </w:p>
        </w:tc>
      </w:tr>
      <w:tr w:rsidR="00C21CDB" w:rsidRPr="00846A70" w:rsidTr="001B58FD">
        <w:trPr>
          <w:jc w:val="center"/>
        </w:trPr>
        <w:tc>
          <w:tcPr>
            <w:tcW w:w="1986" w:type="dxa"/>
          </w:tcPr>
          <w:p w:rsidR="00C21CDB" w:rsidRPr="00846A70" w:rsidRDefault="00E64609" w:rsidP="00846A7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lang w:val="es-MX"/>
              </w:rPr>
            </w:pPr>
            <w:r w:rsidRPr="00846A70">
              <w:rPr>
                <w:rFonts w:ascii="Times New Roman" w:hAnsi="Times New Roman" w:cs="Times New Roman"/>
                <w:lang w:val="es-MX"/>
              </w:rPr>
              <w:t xml:space="preserve">Requisa </w:t>
            </w:r>
            <w:r w:rsidR="0070716A" w:rsidRPr="00846A70">
              <w:rPr>
                <w:rFonts w:ascii="Times New Roman" w:hAnsi="Times New Roman" w:cs="Times New Roman"/>
                <w:lang w:val="es-MX"/>
              </w:rPr>
              <w:t>del auto</w:t>
            </w:r>
            <w:r w:rsidR="00496B9A" w:rsidRPr="00846A70">
              <w:rPr>
                <w:rFonts w:ascii="Times New Roman" w:hAnsi="Times New Roman" w:cs="Times New Roman"/>
                <w:lang w:val="es-MX"/>
              </w:rPr>
              <w:t xml:space="preserve">, </w:t>
            </w:r>
            <w:r w:rsidR="003B4833" w:rsidRPr="00846A70">
              <w:rPr>
                <w:rFonts w:ascii="Times New Roman" w:hAnsi="Times New Roman" w:cs="Times New Roman"/>
                <w:lang w:val="es-MX"/>
              </w:rPr>
              <w:t>objetos encontrados</w:t>
            </w:r>
            <w:r w:rsidR="00496B9A" w:rsidRPr="00846A70">
              <w:rPr>
                <w:rFonts w:ascii="Times New Roman" w:hAnsi="Times New Roman" w:cs="Times New Roman"/>
                <w:lang w:val="es-MX"/>
              </w:rPr>
              <w:t xml:space="preserve"> y presencia de testigos al momento de la requisa.</w:t>
            </w:r>
          </w:p>
        </w:tc>
        <w:tc>
          <w:tcPr>
            <w:tcW w:w="2693" w:type="dxa"/>
          </w:tcPr>
          <w:p w:rsidR="00C21CDB" w:rsidRPr="00846A70" w:rsidRDefault="0070716A" w:rsidP="00846A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lang w:val="es-MX"/>
              </w:rPr>
            </w:pPr>
            <w:r w:rsidRPr="00846A70">
              <w:rPr>
                <w:rFonts w:ascii="Times New Roman" w:hAnsi="Times New Roman" w:cs="Times New Roman"/>
                <w:lang w:val="es-MX"/>
              </w:rPr>
              <w:t>Se encontró un paquete tipo ladrillo con una sustancia vegetal similar a la marihuana, y que en uno de los bolsos se encontró un revólver calibre 32 marca Taurus con diez proyectiles se halló –sin detallar dónde–  una pistola marca Bersa calibre 22 con un cargador de ocho proyectiles.</w:t>
            </w:r>
            <w:r w:rsidR="00585E9F" w:rsidRPr="00846A70">
              <w:rPr>
                <w:rFonts w:ascii="Times New Roman" w:hAnsi="Times New Roman" w:cs="Times New Roman"/>
                <w:lang w:val="es-MX"/>
              </w:rPr>
              <w:t xml:space="preserve"> Todas las</w:t>
            </w:r>
            <w:r w:rsidRPr="00846A70">
              <w:rPr>
                <w:rFonts w:ascii="Times New Roman" w:hAnsi="Times New Roman" w:cs="Times New Roman"/>
                <w:lang w:val="es-MX"/>
              </w:rPr>
              <w:t xml:space="preserve"> armas pertenecían a A. J. J. A. (pasajero del auto)</w:t>
            </w:r>
          </w:p>
          <w:p w:rsidR="00585E9F" w:rsidRPr="00846A70" w:rsidRDefault="00585E9F" w:rsidP="00846A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lang w:val="es-MX"/>
              </w:rPr>
            </w:pPr>
            <w:r w:rsidRPr="00846A70">
              <w:rPr>
                <w:rFonts w:ascii="Times New Roman" w:hAnsi="Times New Roman" w:cs="Times New Roman"/>
                <w:i/>
                <w:lang w:val="es-MX"/>
              </w:rPr>
              <w:t>Policía 1</w:t>
            </w:r>
            <w:r w:rsidRPr="00846A70">
              <w:rPr>
                <w:rFonts w:ascii="Times New Roman" w:hAnsi="Times New Roman" w:cs="Times New Roman"/>
                <w:lang w:val="es-MX"/>
              </w:rPr>
              <w:t xml:space="preserve">: “[f]ue así que con los tres ocupantes ya abajo del vehículo, procedieron a revisar el baúl del rodado en donde hallaron diversos bolsos, bolsas de chocolate y en la parte derecha de éste (del baúl) un pan de marihuana […] De allí se dirigen al interior del auto donde encuentran en la parte de atrás, en el piso, casi en el medio de ese sector una bolsa con el resto de los panes […]”, sin mencionar </w:t>
            </w:r>
            <w:r w:rsidRPr="00846A70">
              <w:rPr>
                <w:rFonts w:ascii="Times New Roman" w:hAnsi="Times New Roman" w:cs="Times New Roman"/>
                <w:lang w:val="es-MX"/>
              </w:rPr>
              <w:lastRenderedPageBreak/>
              <w:t>la presencia de testigos durante la requisa.</w:t>
            </w:r>
          </w:p>
          <w:p w:rsidR="00585E9F" w:rsidRPr="00846A70" w:rsidRDefault="00585E9F" w:rsidP="00846A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lang w:val="es-MX"/>
              </w:rPr>
            </w:pPr>
            <w:r w:rsidRPr="00846A70">
              <w:rPr>
                <w:rFonts w:ascii="Times New Roman" w:hAnsi="Times New Roman" w:cs="Times New Roman"/>
                <w:i/>
                <w:lang w:val="es-MX"/>
              </w:rPr>
              <w:t>Policía 2:</w:t>
            </w:r>
            <w:r w:rsidRPr="00846A70">
              <w:rPr>
                <w:rFonts w:ascii="Times New Roman" w:hAnsi="Times New Roman" w:cs="Times New Roman"/>
                <w:lang w:val="es-MX"/>
              </w:rPr>
              <w:t xml:space="preserve"> </w:t>
            </w:r>
            <w:r w:rsidR="001B58FD">
              <w:rPr>
                <w:rFonts w:ascii="Times New Roman" w:hAnsi="Times New Roman" w:cs="Times New Roman"/>
                <w:lang w:val="es-MX"/>
              </w:rPr>
              <w:t xml:space="preserve">“uno de los testigos </w:t>
            </w:r>
            <w:r w:rsidRPr="00846A70">
              <w:rPr>
                <w:rFonts w:ascii="Times New Roman" w:hAnsi="Times New Roman" w:cs="Times New Roman"/>
                <w:lang w:val="es-MX"/>
              </w:rPr>
              <w:t>pasó por esa zona cree que en un Mehari y observó todo lo que había en el baúl y adentro del vehículo, pero cree llegó después de haberse abierto el baúl. El otro testigo, el segundo, fue posterior</w:t>
            </w:r>
            <w:r w:rsidR="001B58FD">
              <w:rPr>
                <w:rFonts w:ascii="Times New Roman" w:hAnsi="Times New Roman" w:cs="Times New Roman"/>
                <w:lang w:val="es-MX"/>
              </w:rPr>
              <w:t>”</w:t>
            </w:r>
            <w:r w:rsidR="002D44A4" w:rsidRPr="00846A70">
              <w:rPr>
                <w:rFonts w:ascii="Times New Roman" w:hAnsi="Times New Roman" w:cs="Times New Roman"/>
                <w:lang w:val="es-MX"/>
              </w:rPr>
              <w:t>.</w:t>
            </w:r>
          </w:p>
          <w:p w:rsidR="00585E9F" w:rsidRPr="00846A70" w:rsidRDefault="00585E9F" w:rsidP="00846A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lang w:val="es-MX"/>
              </w:rPr>
            </w:pPr>
            <w:r w:rsidRPr="00846A70">
              <w:rPr>
                <w:rFonts w:ascii="Times New Roman" w:hAnsi="Times New Roman" w:cs="Times New Roman"/>
                <w:i/>
                <w:lang w:val="es-MX"/>
              </w:rPr>
              <w:t>Policía 3:</w:t>
            </w:r>
            <w:r w:rsidR="00496B9A" w:rsidRPr="00846A70">
              <w:rPr>
                <w:rFonts w:ascii="Times New Roman" w:hAnsi="Times New Roman" w:cs="Times New Roman"/>
                <w:lang w:val="es-MX"/>
              </w:rPr>
              <w:t xml:space="preserve"> </w:t>
            </w:r>
            <w:r w:rsidR="001B58FD">
              <w:rPr>
                <w:rFonts w:ascii="Times New Roman" w:hAnsi="Times New Roman" w:cs="Times New Roman"/>
                <w:lang w:val="es-MX"/>
              </w:rPr>
              <w:t xml:space="preserve">“uno de los testigos </w:t>
            </w:r>
            <w:r w:rsidR="00496B9A" w:rsidRPr="00846A70">
              <w:rPr>
                <w:rFonts w:ascii="Times New Roman" w:hAnsi="Times New Roman" w:cs="Times New Roman"/>
                <w:lang w:val="es-MX"/>
              </w:rPr>
              <w:t>pasó por esa zona cree que en un Mehari y observó todo lo que había en el baúl y adentro del vehículo, pero cree llegó después de haberse abierto el baúl. El otro testigo, el segundo, fue posterior</w:t>
            </w:r>
            <w:r w:rsidR="001B58FD">
              <w:rPr>
                <w:rFonts w:ascii="Times New Roman" w:hAnsi="Times New Roman" w:cs="Times New Roman"/>
                <w:lang w:val="es-MX"/>
              </w:rPr>
              <w:t>”</w:t>
            </w:r>
            <w:r w:rsidR="00496B9A" w:rsidRPr="00846A70">
              <w:rPr>
                <w:rFonts w:ascii="Times New Roman" w:hAnsi="Times New Roman" w:cs="Times New Roman"/>
                <w:lang w:val="es-MX"/>
              </w:rPr>
              <w:t>.</w:t>
            </w:r>
          </w:p>
        </w:tc>
        <w:tc>
          <w:tcPr>
            <w:tcW w:w="2693" w:type="dxa"/>
          </w:tcPr>
          <w:p w:rsidR="0070716A" w:rsidRPr="00846A70" w:rsidRDefault="003B4833" w:rsidP="00846A7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lang w:val="es-MX"/>
              </w:rPr>
            </w:pPr>
            <w:r w:rsidRPr="00846A70">
              <w:rPr>
                <w:rFonts w:ascii="Times New Roman" w:hAnsi="Times New Roman" w:cs="Times New Roman"/>
                <w:lang w:val="es-MX"/>
              </w:rPr>
              <w:lastRenderedPageBreak/>
              <w:t>Solo un testigo se encontraba presente</w:t>
            </w:r>
            <w:r w:rsidR="0070716A" w:rsidRPr="00846A70">
              <w:rPr>
                <w:rFonts w:ascii="Times New Roman" w:hAnsi="Times New Roman" w:cs="Times New Roman"/>
                <w:lang w:val="es-MX"/>
              </w:rPr>
              <w:t xml:space="preserve"> al momento de la requisa del auto.</w:t>
            </w:r>
          </w:p>
          <w:p w:rsidR="003B4833" w:rsidRPr="00846A70" w:rsidRDefault="003B4833" w:rsidP="00846A7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lang w:val="es-MX"/>
              </w:rPr>
            </w:pPr>
            <w:r w:rsidRPr="00846A70">
              <w:rPr>
                <w:rFonts w:ascii="Times New Roman" w:hAnsi="Times New Roman" w:cs="Times New Roman"/>
                <w:i/>
                <w:lang w:val="es-MX"/>
              </w:rPr>
              <w:t>Testigo 1:</w:t>
            </w:r>
            <w:r w:rsidRPr="00846A70">
              <w:rPr>
                <w:rFonts w:ascii="Times New Roman" w:hAnsi="Times New Roman" w:cs="Times New Roman"/>
                <w:lang w:val="es-MX"/>
              </w:rPr>
              <w:t xml:space="preserve"> “todo el material secuestrado estaba en el interior del auto de la policía”, “no estaba cuando abrieron el baúl por lo que no [podía] asegurar si las cosas las sacaron del interior del auto verde o del baúl.”</w:t>
            </w:r>
          </w:p>
          <w:p w:rsidR="003B4833" w:rsidRPr="00846A70" w:rsidRDefault="003B4833" w:rsidP="00846A7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lang w:val="es-MX"/>
              </w:rPr>
            </w:pPr>
            <w:r w:rsidRPr="00846A70">
              <w:rPr>
                <w:rFonts w:ascii="Times New Roman" w:hAnsi="Times New Roman" w:cs="Times New Roman"/>
                <w:i/>
                <w:lang w:val="es-MX"/>
              </w:rPr>
              <w:t>Testigo 2</w:t>
            </w:r>
            <w:r w:rsidRPr="00846A70">
              <w:rPr>
                <w:rFonts w:ascii="Times New Roman" w:hAnsi="Times New Roman" w:cs="Times New Roman"/>
                <w:lang w:val="es-MX"/>
              </w:rPr>
              <w:t>: afirmó que estaba presente cuando los agentes policiales revisaron el interior del baúl, donde se encontró un bolso con “aproximadamente la cantidad de cuatro panes de lo que le dijeron eran marihuana”. También declaró que “creía” que al otro paquete lo encontraron en el piso del asiento de atrás.</w:t>
            </w:r>
          </w:p>
          <w:p w:rsidR="003B4833" w:rsidRPr="00846A70" w:rsidRDefault="003B4833" w:rsidP="00846A7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lang w:val="es-MX"/>
              </w:rPr>
            </w:pPr>
          </w:p>
          <w:p w:rsidR="003B4833" w:rsidRPr="00846A70" w:rsidRDefault="003B4833" w:rsidP="00846A7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lang w:val="es-MX"/>
              </w:rPr>
            </w:pPr>
            <w:r w:rsidRPr="00846A70">
              <w:rPr>
                <w:rFonts w:ascii="Times New Roman" w:hAnsi="Times New Roman" w:cs="Times New Roman"/>
                <w:lang w:val="es-MX"/>
              </w:rPr>
              <w:lastRenderedPageBreak/>
              <w:t>.</w:t>
            </w:r>
          </w:p>
          <w:p w:rsidR="003B4833" w:rsidRPr="00846A70" w:rsidRDefault="003B4833" w:rsidP="00846A7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lang w:val="es-MX"/>
              </w:rPr>
            </w:pPr>
          </w:p>
          <w:p w:rsidR="00E64609" w:rsidRPr="00846A70" w:rsidRDefault="00E64609" w:rsidP="00846A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lang w:val="es-MX"/>
              </w:rPr>
            </w:pPr>
          </w:p>
          <w:p w:rsidR="00E64609" w:rsidRPr="00846A70" w:rsidRDefault="00E64609" w:rsidP="00846A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lang w:val="es-MX"/>
              </w:rPr>
            </w:pPr>
          </w:p>
        </w:tc>
        <w:tc>
          <w:tcPr>
            <w:tcW w:w="2693" w:type="dxa"/>
          </w:tcPr>
          <w:p w:rsidR="00C21CDB" w:rsidRPr="00846A70" w:rsidRDefault="0070716A" w:rsidP="00846A7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lang w:val="es-MX"/>
              </w:rPr>
            </w:pPr>
            <w:r w:rsidRPr="00846A70">
              <w:rPr>
                <w:rFonts w:ascii="Times New Roman" w:hAnsi="Times New Roman" w:cs="Times New Roman"/>
                <w:lang w:val="es-MX"/>
              </w:rPr>
              <w:lastRenderedPageBreak/>
              <w:t xml:space="preserve">La Policía encontró uno de los paquetes de marihuana en un bolso de nylon bajo el asiento del conductor del lado de atrás, pero en el baúl no había nada relacionado con el secuestro, solo las armas que pertenecían a A. J. J. A. Asimismo, sostuvo que los dos testigos del procedimiento fueron convocados por la </w:t>
            </w:r>
            <w:r w:rsidR="00E64609" w:rsidRPr="00846A70">
              <w:rPr>
                <w:rFonts w:ascii="Times New Roman" w:hAnsi="Times New Roman" w:cs="Times New Roman"/>
                <w:lang w:val="es-MX"/>
              </w:rPr>
              <w:t>Policía después</w:t>
            </w:r>
            <w:r w:rsidRPr="00846A70">
              <w:rPr>
                <w:rFonts w:ascii="Times New Roman" w:hAnsi="Times New Roman" w:cs="Times New Roman"/>
                <w:lang w:val="es-MX"/>
              </w:rPr>
              <w:t xml:space="preserve"> de haber secuestrado los objetos. Señala que firmó el acta de buena fe pero era de noche y no se veía bien.</w:t>
            </w:r>
          </w:p>
        </w:tc>
      </w:tr>
    </w:tbl>
    <w:p w:rsidR="00CF5BAB" w:rsidRDefault="00CF5BAB" w:rsidP="00846A70">
      <w:pPr>
        <w:jc w:val="both"/>
        <w:rPr>
          <w:rFonts w:ascii="Times New Roman" w:hAnsi="Times New Roman" w:cs="Times New Roman"/>
          <w:lang w:val="es-MX"/>
        </w:rPr>
      </w:pPr>
    </w:p>
    <w:p w:rsidR="00A52A7E" w:rsidRPr="00846A70" w:rsidRDefault="00E77A2B" w:rsidP="00846A70">
      <w:pPr>
        <w:jc w:val="both"/>
        <w:rPr>
          <w:rFonts w:ascii="Times New Roman" w:hAnsi="Times New Roman" w:cs="Times New Roman"/>
          <w:lang w:val="es-MX"/>
        </w:rPr>
      </w:pPr>
      <w:r w:rsidRPr="00846A70">
        <w:rPr>
          <w:rFonts w:ascii="Times New Roman" w:hAnsi="Times New Roman" w:cs="Times New Roman"/>
          <w:lang w:val="es-MX"/>
        </w:rPr>
        <w:t>Al momento de la detención, CAFP se encontraba en recuperación de un grave accidente de tránsito ocurrido cuatro meses atrás. Derivado de dicho accidente tuvo diversas lesiones, entre éstas una lesión de cadera que implicó una operación quirúrgica. A consecuencia de lo anterior, el señor Fernández Prieto estaba medicado con un analgésico de aplicación intramuscular que debía ser administrado bajo supervisión. A pesar de la solicitud para recibir el tratamiento después</w:t>
      </w:r>
      <w:r w:rsidR="001B58FD">
        <w:rPr>
          <w:rFonts w:ascii="Times New Roman" w:hAnsi="Times New Roman" w:cs="Times New Roman"/>
          <w:lang w:val="es-MX"/>
        </w:rPr>
        <w:t xml:space="preserve"> de</w:t>
      </w:r>
      <w:r w:rsidRPr="00846A70">
        <w:rPr>
          <w:rFonts w:ascii="Times New Roman" w:hAnsi="Times New Roman" w:cs="Times New Roman"/>
          <w:lang w:val="es-MX"/>
        </w:rPr>
        <w:t xml:space="preserve"> su detención, esta no fue atendida de forma efectiva.</w:t>
      </w:r>
      <w:r w:rsidRPr="00846A70">
        <w:rPr>
          <w:rStyle w:val="Refdenotaalpie"/>
          <w:rFonts w:ascii="Times New Roman" w:hAnsi="Times New Roman" w:cs="Times New Roman"/>
          <w:lang w:val="es-MX"/>
        </w:rPr>
        <w:footnoteReference w:id="3"/>
      </w:r>
      <w:r w:rsidR="00096CBA" w:rsidRPr="00846A70">
        <w:rPr>
          <w:rFonts w:ascii="Times New Roman" w:hAnsi="Times New Roman" w:cs="Times New Roman"/>
          <w:lang w:val="es-MX"/>
        </w:rPr>
        <w:t xml:space="preserve"> Según las constancias del caso el señor Fernández Prieto y los otros dos detenidos permanecieron incomunicados 72 horas.</w:t>
      </w:r>
      <w:r w:rsidR="00EA2829">
        <w:rPr>
          <w:rFonts w:ascii="Times New Roman" w:hAnsi="Times New Roman" w:cs="Times New Roman"/>
          <w:lang w:val="es-MX"/>
        </w:rPr>
        <w:t xml:space="preserve"> </w:t>
      </w:r>
      <w:r w:rsidR="00447300" w:rsidRPr="00846A70">
        <w:rPr>
          <w:rFonts w:ascii="Times New Roman" w:hAnsi="Times New Roman" w:cs="Times New Roman"/>
          <w:lang w:val="es-MX"/>
        </w:rPr>
        <w:t>El 16 de junio de 1992, a pesar de reconocer la intervención tardía de los testigos al momento de la detención y las inconsistencias sobre el proceso de requisa durante</w:t>
      </w:r>
      <w:r w:rsidR="00C90EF6" w:rsidRPr="00846A70">
        <w:rPr>
          <w:rFonts w:ascii="Times New Roman" w:hAnsi="Times New Roman" w:cs="Times New Roman"/>
          <w:lang w:val="es-MX"/>
        </w:rPr>
        <w:t xml:space="preserve"> la detención, el Juez Federal </w:t>
      </w:r>
      <w:r w:rsidR="00447300" w:rsidRPr="00846A70">
        <w:rPr>
          <w:rFonts w:ascii="Times New Roman" w:hAnsi="Times New Roman" w:cs="Times New Roman"/>
          <w:lang w:val="es-MX"/>
        </w:rPr>
        <w:t>de la ciudad de Mar de Plata dict</w:t>
      </w:r>
      <w:r w:rsidR="001B58FD">
        <w:rPr>
          <w:rFonts w:ascii="Times New Roman" w:hAnsi="Times New Roman" w:cs="Times New Roman"/>
          <w:lang w:val="es-MX"/>
        </w:rPr>
        <w:t>ó</w:t>
      </w:r>
      <w:r w:rsidR="00447300" w:rsidRPr="00846A70">
        <w:rPr>
          <w:rFonts w:ascii="Times New Roman" w:hAnsi="Times New Roman" w:cs="Times New Roman"/>
          <w:lang w:val="es-MX"/>
        </w:rPr>
        <w:t xml:space="preserve"> procesamiento</w:t>
      </w:r>
      <w:r w:rsidR="00C56935" w:rsidRPr="00846A70">
        <w:rPr>
          <w:rFonts w:ascii="Times New Roman" w:hAnsi="Times New Roman" w:cs="Times New Roman"/>
          <w:lang w:val="es-MX"/>
        </w:rPr>
        <w:t xml:space="preserve"> y prisión preventiva</w:t>
      </w:r>
      <w:r w:rsidR="00447300" w:rsidRPr="00846A70">
        <w:rPr>
          <w:rFonts w:ascii="Times New Roman" w:hAnsi="Times New Roman" w:cs="Times New Roman"/>
          <w:lang w:val="es-MX"/>
        </w:rPr>
        <w:t xml:space="preserve"> en contra del señor Fernández Prieto al considerarlo autor de delito </w:t>
      </w:r>
      <w:r w:rsidR="00042EE4" w:rsidRPr="00846A70">
        <w:rPr>
          <w:rFonts w:ascii="Times New Roman" w:hAnsi="Times New Roman" w:cs="Times New Roman"/>
          <w:lang w:val="es-MX"/>
        </w:rPr>
        <w:t>contenido en el artículo 5 c) de la Ley 23.737 el cual otorga pena de prisión entre cuatro a quince años a quien</w:t>
      </w:r>
      <w:r w:rsidR="00042EE4" w:rsidRPr="001B58FD">
        <w:rPr>
          <w:rFonts w:ascii="Times New Roman" w:hAnsi="Times New Roman" w:cs="Times New Roman"/>
          <w:lang w:val="es-MX"/>
        </w:rPr>
        <w:t xml:space="preserve"> </w:t>
      </w:r>
      <w:r w:rsidR="00042EE4" w:rsidRPr="00846A70">
        <w:rPr>
          <w:rFonts w:ascii="Times New Roman" w:hAnsi="Times New Roman" w:cs="Times New Roman"/>
          <w:u w:val="single"/>
          <w:lang w:val="es-MX"/>
        </w:rPr>
        <w:t>“</w:t>
      </w:r>
      <w:r w:rsidR="00042EE4" w:rsidRPr="00846A70">
        <w:rPr>
          <w:rFonts w:ascii="Times New Roman" w:hAnsi="Times New Roman" w:cs="Times New Roman"/>
          <w:u w:val="single"/>
          <w:shd w:val="clear" w:color="auto" w:fill="FFFFFF"/>
        </w:rPr>
        <w:t>comercie con estupefacientes o materias primas para su producción o fabricación o los tenga con fines de comercialización, o los distribuya, o dé en pago, o almacene o transporte”.</w:t>
      </w:r>
      <w:r w:rsidR="00C56935" w:rsidRPr="00846A70">
        <w:rPr>
          <w:rFonts w:ascii="Times New Roman" w:hAnsi="Times New Roman" w:cs="Times New Roman"/>
          <w:shd w:val="clear" w:color="auto" w:fill="FFFFFF"/>
        </w:rPr>
        <w:t xml:space="preserve"> </w:t>
      </w:r>
    </w:p>
    <w:p w:rsidR="001D3667" w:rsidRPr="00846A70" w:rsidRDefault="00E123BB" w:rsidP="00846A70">
      <w:pPr>
        <w:jc w:val="both"/>
        <w:rPr>
          <w:rFonts w:ascii="Times New Roman" w:hAnsi="Times New Roman" w:cs="Times New Roman"/>
          <w:shd w:val="clear" w:color="auto" w:fill="FFFFFF"/>
        </w:rPr>
      </w:pPr>
      <w:r w:rsidRPr="00846A70">
        <w:rPr>
          <w:rFonts w:ascii="Times New Roman" w:hAnsi="Times New Roman" w:cs="Times New Roman"/>
          <w:shd w:val="clear" w:color="auto" w:fill="FFFFFF"/>
        </w:rPr>
        <w:t>E</w:t>
      </w:r>
      <w:r w:rsidR="007949BE" w:rsidRPr="00846A70">
        <w:rPr>
          <w:rFonts w:ascii="Times New Roman" w:hAnsi="Times New Roman" w:cs="Times New Roman"/>
          <w:shd w:val="clear" w:color="auto" w:fill="FFFFFF"/>
        </w:rPr>
        <w:t>l 8 de noviembre de 1995 CAFP fue sobreseído por el delito de almacenamiento de estupefacientes y su agravante, precisándose la calificación legal del delito como “transporte de sustancias estupefacientes”.</w:t>
      </w:r>
      <w:r w:rsidRPr="00846A70">
        <w:rPr>
          <w:rFonts w:ascii="Times New Roman" w:hAnsi="Times New Roman" w:cs="Times New Roman"/>
          <w:shd w:val="clear" w:color="auto" w:fill="FFFFFF"/>
        </w:rPr>
        <w:t xml:space="preserve"> Después del cambio de defensa particular a defensa pública, se presentó un escrito para solicitar la nulidad del proceso, ya </w:t>
      </w:r>
      <w:r w:rsidR="005F12D5" w:rsidRPr="00846A70">
        <w:rPr>
          <w:rFonts w:ascii="Times New Roman" w:hAnsi="Times New Roman" w:cs="Times New Roman"/>
          <w:shd w:val="clear" w:color="auto" w:fill="FFFFFF"/>
        </w:rPr>
        <w:t>que “</w:t>
      </w:r>
      <w:r w:rsidRPr="00846A70">
        <w:rPr>
          <w:rFonts w:ascii="Times New Roman" w:hAnsi="Times New Roman" w:cs="Times New Roman"/>
          <w:shd w:val="clear" w:color="auto" w:fill="FFFFFF"/>
        </w:rPr>
        <w:t xml:space="preserve">[l]a sola indicación de que el personal policial avista un vehículo con </w:t>
      </w:r>
      <w:r w:rsidR="00F36C48" w:rsidRPr="00846A70">
        <w:rPr>
          <w:rFonts w:ascii="Times New Roman" w:hAnsi="Times New Roman" w:cs="Times New Roman"/>
          <w:shd w:val="clear" w:color="auto" w:fill="FFFFFF"/>
        </w:rPr>
        <w:t>tres sujetos</w:t>
      </w:r>
      <w:r w:rsidRPr="00846A70">
        <w:rPr>
          <w:rFonts w:ascii="Times New Roman" w:hAnsi="Times New Roman" w:cs="Times New Roman"/>
          <w:shd w:val="clear" w:color="auto" w:fill="FFFFFF"/>
        </w:rPr>
        <w:t xml:space="preserve"> en su interior en actitud sospechosa” no constituía “motivo suficiente </w:t>
      </w:r>
      <w:r w:rsidR="00F36C48" w:rsidRPr="00846A70">
        <w:rPr>
          <w:rFonts w:ascii="Times New Roman" w:hAnsi="Times New Roman" w:cs="Times New Roman"/>
          <w:shd w:val="clear" w:color="auto" w:fill="FFFFFF"/>
        </w:rPr>
        <w:t>para justificar</w:t>
      </w:r>
      <w:r w:rsidRPr="00846A70">
        <w:rPr>
          <w:rFonts w:ascii="Times New Roman" w:hAnsi="Times New Roman" w:cs="Times New Roman"/>
          <w:shd w:val="clear" w:color="auto" w:fill="FFFFFF"/>
        </w:rPr>
        <w:t xml:space="preserve"> la requisa de sus efectos personales n</w:t>
      </w:r>
      <w:r w:rsidR="00EE65D0" w:rsidRPr="00846A70">
        <w:rPr>
          <w:rFonts w:ascii="Times New Roman" w:hAnsi="Times New Roman" w:cs="Times New Roman"/>
          <w:shd w:val="clear" w:color="auto" w:fill="FFFFFF"/>
        </w:rPr>
        <w:t>i la del vehículo en el que se</w:t>
      </w:r>
      <w:r w:rsidRPr="00846A70">
        <w:rPr>
          <w:rFonts w:ascii="Times New Roman" w:hAnsi="Times New Roman" w:cs="Times New Roman"/>
          <w:shd w:val="clear" w:color="auto" w:fill="FFFFFF"/>
        </w:rPr>
        <w:t xml:space="preserve"> desplazaban”. Asimismo, sostuvo que no existieron indicios vehementes de culpabilidad ni semiplena prueba, tal como lo exigía la legislación vigente y, por lo tanto, debía </w:t>
      </w:r>
      <w:r w:rsidRPr="00846A70">
        <w:rPr>
          <w:rFonts w:ascii="Times New Roman" w:hAnsi="Times New Roman" w:cs="Times New Roman"/>
          <w:shd w:val="clear" w:color="auto" w:fill="FFFFFF"/>
        </w:rPr>
        <w:lastRenderedPageBreak/>
        <w:t xml:space="preserve">invalidar la actuación policial y absolver al señor Fernández Prieto. Finalmente, la </w:t>
      </w:r>
      <w:r w:rsidR="00B430CA" w:rsidRPr="00846A70">
        <w:rPr>
          <w:rFonts w:ascii="Times New Roman" w:hAnsi="Times New Roman" w:cs="Times New Roman"/>
          <w:shd w:val="clear" w:color="auto" w:fill="FFFFFF"/>
        </w:rPr>
        <w:t>d</w:t>
      </w:r>
      <w:r w:rsidRPr="00846A70">
        <w:rPr>
          <w:rFonts w:ascii="Times New Roman" w:hAnsi="Times New Roman" w:cs="Times New Roman"/>
          <w:shd w:val="clear" w:color="auto" w:fill="FFFFFF"/>
        </w:rPr>
        <w:t xml:space="preserve">efensa </w:t>
      </w:r>
      <w:r w:rsidR="00B430CA" w:rsidRPr="00846A70">
        <w:rPr>
          <w:rFonts w:ascii="Times New Roman" w:hAnsi="Times New Roman" w:cs="Times New Roman"/>
          <w:shd w:val="clear" w:color="auto" w:fill="FFFFFF"/>
        </w:rPr>
        <w:t>p</w:t>
      </w:r>
      <w:r w:rsidRPr="00846A70">
        <w:rPr>
          <w:rFonts w:ascii="Times New Roman" w:hAnsi="Times New Roman" w:cs="Times New Roman"/>
          <w:shd w:val="clear" w:color="auto" w:fill="FFFFFF"/>
        </w:rPr>
        <w:t xml:space="preserve">ública argumentó que no se había logrado probar el </w:t>
      </w:r>
      <w:r w:rsidR="00B430CA" w:rsidRPr="00846A70">
        <w:rPr>
          <w:rFonts w:ascii="Times New Roman" w:hAnsi="Times New Roman" w:cs="Times New Roman"/>
          <w:shd w:val="clear" w:color="auto" w:fill="FFFFFF"/>
        </w:rPr>
        <w:t>propósito</w:t>
      </w:r>
      <w:r w:rsidRPr="00846A70">
        <w:rPr>
          <w:rFonts w:ascii="Times New Roman" w:hAnsi="Times New Roman" w:cs="Times New Roman"/>
          <w:shd w:val="clear" w:color="auto" w:fill="FFFFFF"/>
        </w:rPr>
        <w:t xml:space="preserve"> de tráfico de estupefacientes que</w:t>
      </w:r>
      <w:r w:rsidR="00B430CA" w:rsidRPr="00846A70">
        <w:rPr>
          <w:rFonts w:ascii="Times New Roman" w:hAnsi="Times New Roman" w:cs="Times New Roman"/>
          <w:shd w:val="clear" w:color="auto" w:fill="FFFFFF"/>
        </w:rPr>
        <w:t xml:space="preserve"> exige la Ley 23.737.</w:t>
      </w:r>
    </w:p>
    <w:p w:rsidR="007949BE" w:rsidRPr="00846A70" w:rsidRDefault="001D3667" w:rsidP="00846A70">
      <w:pPr>
        <w:jc w:val="both"/>
        <w:rPr>
          <w:rFonts w:ascii="Times New Roman" w:hAnsi="Times New Roman" w:cs="Times New Roman"/>
          <w:u w:val="single"/>
          <w:shd w:val="clear" w:color="auto" w:fill="FFFFFF"/>
        </w:rPr>
      </w:pPr>
      <w:r w:rsidRPr="00846A70">
        <w:rPr>
          <w:rFonts w:ascii="Times New Roman" w:hAnsi="Times New Roman" w:cs="Times New Roman"/>
          <w:shd w:val="clear" w:color="auto" w:fill="FFFFFF"/>
        </w:rPr>
        <w:t>A</w:t>
      </w:r>
      <w:r w:rsidR="0060428C" w:rsidRPr="00846A70">
        <w:rPr>
          <w:rFonts w:ascii="Times New Roman" w:hAnsi="Times New Roman" w:cs="Times New Roman"/>
          <w:shd w:val="clear" w:color="auto" w:fill="FFFFFF"/>
        </w:rPr>
        <w:t xml:space="preserve"> pesar de dichos argumentos de la defensa, el 19 de julio de 1996, el Juez a cargo del Juzgado Federal N° 1 de la ciudad de Mar del Plata resolvió condenar a Carlos Alberto Fernández Prieto a la pena de cinco años de prisión y a una multa de tres mil pesos, accesorias legales y costas, por considerarlo autor del delito de transporte de estupefacientes. Entre los argumentos expuestos por el juez de la sentencia se incluyó que “más allá de las diferencias de matices en el episodio concreto puesto a la luz en cada caso, esos principios son aplicables a la especie, pues ese estado de sospecha es puesto de manifiesto y se ve entonces el peligro que hubiere significado el obviar la tarea ahora cuestionada.” Asimismo, señaló que </w:t>
      </w:r>
      <w:r w:rsidR="0060428C" w:rsidRPr="00846A70">
        <w:rPr>
          <w:rFonts w:ascii="Times New Roman" w:hAnsi="Times New Roman" w:cs="Times New Roman"/>
          <w:u w:val="single"/>
          <w:shd w:val="clear" w:color="auto" w:fill="FFFFFF"/>
        </w:rPr>
        <w:t>“los delitos vinculados al narcotráfico, y en especial, los inherentes a la tenencia de estupefacientes, exige [sic] una mayor amplitud judicial a la hora de evaluar las circunstancias objetivas que concurren en las actividades prevencionales”.</w:t>
      </w:r>
    </w:p>
    <w:p w:rsidR="00EA2829" w:rsidRDefault="00575D98" w:rsidP="00846A70">
      <w:pPr>
        <w:jc w:val="both"/>
        <w:rPr>
          <w:rFonts w:ascii="Times New Roman" w:hAnsi="Times New Roman" w:cs="Times New Roman"/>
          <w:shd w:val="clear" w:color="auto" w:fill="FFFFFF"/>
        </w:rPr>
      </w:pPr>
      <w:r w:rsidRPr="00846A70">
        <w:rPr>
          <w:rFonts w:ascii="Times New Roman" w:hAnsi="Times New Roman" w:cs="Times New Roman"/>
          <w:shd w:val="clear" w:color="auto" w:fill="FFFFFF"/>
        </w:rPr>
        <w:t>Contra esta decisión, el 16 de septiembre de 1996 la defensa interpuso recurso de apelación. En el cual señaló que con base en los artículos 4 y 184 inciso 4 del Código de Procedimientos en Materia Penal, la Policía podía detener a una persona si</w:t>
      </w:r>
      <w:r w:rsidR="0030775C" w:rsidRPr="00846A70">
        <w:rPr>
          <w:rFonts w:ascii="Times New Roman" w:hAnsi="Times New Roman" w:cs="Times New Roman"/>
          <w:shd w:val="clear" w:color="auto" w:fill="FFFFFF"/>
        </w:rPr>
        <w:t>empre que existieran “indicios vehementes</w:t>
      </w:r>
      <w:r w:rsidRPr="00846A70">
        <w:rPr>
          <w:rFonts w:ascii="Times New Roman" w:hAnsi="Times New Roman" w:cs="Times New Roman"/>
          <w:shd w:val="clear" w:color="auto" w:fill="FFFFFF"/>
        </w:rPr>
        <w:t xml:space="preserve"> o semiplena prueba de culpabilidad”</w:t>
      </w:r>
      <w:r w:rsidR="0030775C" w:rsidRPr="00846A70">
        <w:rPr>
          <w:rFonts w:ascii="Times New Roman" w:hAnsi="Times New Roman" w:cs="Times New Roman"/>
          <w:shd w:val="clear" w:color="auto" w:fill="FFFFFF"/>
        </w:rPr>
        <w:t>, circunstancias que no podían asimilarse</w:t>
      </w:r>
      <w:r w:rsidRPr="00846A70">
        <w:rPr>
          <w:rFonts w:ascii="Times New Roman" w:hAnsi="Times New Roman" w:cs="Times New Roman"/>
          <w:shd w:val="clear" w:color="auto" w:fill="FFFFFF"/>
        </w:rPr>
        <w:t xml:space="preserve"> a una mera actitud sospechosa.</w:t>
      </w:r>
      <w:r w:rsidR="0030775C" w:rsidRPr="00846A70">
        <w:rPr>
          <w:rFonts w:ascii="Times New Roman" w:hAnsi="Times New Roman" w:cs="Times New Roman"/>
          <w:shd w:val="clear" w:color="auto" w:fill="FFFFFF"/>
        </w:rPr>
        <w:t xml:space="preserve"> Además,</w:t>
      </w:r>
      <w:r w:rsidRPr="00846A70">
        <w:rPr>
          <w:rFonts w:ascii="Times New Roman" w:hAnsi="Times New Roman" w:cs="Times New Roman"/>
          <w:shd w:val="clear" w:color="auto" w:fill="FFFFFF"/>
        </w:rPr>
        <w:t xml:space="preserve"> señaló que no constaba en </w:t>
      </w:r>
      <w:r w:rsidR="0030775C" w:rsidRPr="00846A70">
        <w:rPr>
          <w:rFonts w:ascii="Times New Roman" w:hAnsi="Times New Roman" w:cs="Times New Roman"/>
          <w:shd w:val="clear" w:color="auto" w:fill="FFFFFF"/>
        </w:rPr>
        <w:t>ninguna</w:t>
      </w:r>
      <w:r w:rsidRPr="00846A70">
        <w:rPr>
          <w:rFonts w:ascii="Times New Roman" w:hAnsi="Times New Roman" w:cs="Times New Roman"/>
          <w:shd w:val="clear" w:color="auto" w:fill="FFFFFF"/>
        </w:rPr>
        <w:t xml:space="preserve"> fase del proceso en q</w:t>
      </w:r>
      <w:r w:rsidR="0030775C" w:rsidRPr="00846A70">
        <w:rPr>
          <w:rFonts w:ascii="Times New Roman" w:hAnsi="Times New Roman" w:cs="Times New Roman"/>
          <w:shd w:val="clear" w:color="auto" w:fill="FFFFFF"/>
        </w:rPr>
        <w:t>ué consistía concretamente esa actitud</w:t>
      </w:r>
      <w:r w:rsidRPr="00846A70">
        <w:rPr>
          <w:rFonts w:ascii="Times New Roman" w:hAnsi="Times New Roman" w:cs="Times New Roman"/>
          <w:shd w:val="clear" w:color="auto" w:fill="FFFFFF"/>
        </w:rPr>
        <w:t xml:space="preserve"> sospechosa, lo que imposibilitaba u</w:t>
      </w:r>
      <w:r w:rsidR="0030775C" w:rsidRPr="00846A70">
        <w:rPr>
          <w:rFonts w:ascii="Times New Roman" w:hAnsi="Times New Roman" w:cs="Times New Roman"/>
          <w:shd w:val="clear" w:color="auto" w:fill="FFFFFF"/>
        </w:rPr>
        <w:t xml:space="preserve">n control judicial de la medida. Lo anterior, a juicio de la </w:t>
      </w:r>
      <w:r w:rsidR="00EE65D0" w:rsidRPr="00846A70">
        <w:rPr>
          <w:rFonts w:ascii="Times New Roman" w:hAnsi="Times New Roman" w:cs="Times New Roman"/>
          <w:shd w:val="clear" w:color="auto" w:fill="FFFFFF"/>
        </w:rPr>
        <w:t>d</w:t>
      </w:r>
      <w:r w:rsidR="0030775C" w:rsidRPr="00846A70">
        <w:rPr>
          <w:rFonts w:ascii="Times New Roman" w:hAnsi="Times New Roman" w:cs="Times New Roman"/>
          <w:shd w:val="clear" w:color="auto" w:fill="FFFFFF"/>
        </w:rPr>
        <w:t>efensa, debía calificarse la detención del señor Fernández Prieto como arbitraria por incumplir las normas procesales antes señaladas.</w:t>
      </w:r>
    </w:p>
    <w:p w:rsidR="00B67C4B" w:rsidRPr="00846A70" w:rsidRDefault="00B67C4B" w:rsidP="00846A70">
      <w:pPr>
        <w:jc w:val="both"/>
        <w:rPr>
          <w:rFonts w:ascii="Times New Roman" w:hAnsi="Times New Roman" w:cs="Times New Roman"/>
          <w:shd w:val="clear" w:color="auto" w:fill="FFFFFF"/>
        </w:rPr>
      </w:pPr>
      <w:r w:rsidRPr="00846A70">
        <w:rPr>
          <w:rFonts w:ascii="Times New Roman" w:hAnsi="Times New Roman" w:cs="Times New Roman"/>
          <w:shd w:val="clear" w:color="auto" w:fill="FFFFFF"/>
        </w:rPr>
        <w:t xml:space="preserve">El 26 de noviembre de 1996, la Cámara Federal de Apelaciones de la Ciudad de Mar del Plata rechazó el planteo de la </w:t>
      </w:r>
      <w:r w:rsidR="00EE65D0" w:rsidRPr="00846A70">
        <w:rPr>
          <w:rFonts w:ascii="Times New Roman" w:hAnsi="Times New Roman" w:cs="Times New Roman"/>
          <w:shd w:val="clear" w:color="auto" w:fill="FFFFFF"/>
        </w:rPr>
        <w:t>d</w:t>
      </w:r>
      <w:r w:rsidRPr="00846A70">
        <w:rPr>
          <w:rFonts w:ascii="Times New Roman" w:hAnsi="Times New Roman" w:cs="Times New Roman"/>
          <w:shd w:val="clear" w:color="auto" w:fill="FFFFFF"/>
        </w:rPr>
        <w:t>efensa. El Tribunal de Alzada resolvió que “la requisa efectuada en</w:t>
      </w:r>
      <w:r w:rsidR="001B58FD">
        <w:rPr>
          <w:rFonts w:ascii="Times New Roman" w:hAnsi="Times New Roman" w:cs="Times New Roman"/>
          <w:shd w:val="clear" w:color="auto" w:fill="FFFFFF"/>
        </w:rPr>
        <w:t xml:space="preserve"> </w:t>
      </w:r>
      <w:r w:rsidRPr="00846A70">
        <w:rPr>
          <w:rFonts w:ascii="Times New Roman" w:hAnsi="Times New Roman" w:cs="Times New Roman"/>
          <w:shd w:val="clear" w:color="auto" w:fill="FFFFFF"/>
        </w:rPr>
        <w:t xml:space="preserve">autos tuvo su origen en un estado de sospecha previo que animaba a los funcionarios policiales, en circunstancias en que resultaba imposible requerir una orden judicial previa; y que dicho proceder se llevó a cabo sin conculcar garantía o derecho individual alguno”. Asimismo, señaló </w:t>
      </w:r>
      <w:r w:rsidR="00EA2829">
        <w:rPr>
          <w:rFonts w:ascii="Times New Roman" w:hAnsi="Times New Roman" w:cs="Times New Roman"/>
          <w:shd w:val="clear" w:color="auto" w:fill="FFFFFF"/>
        </w:rPr>
        <w:t xml:space="preserve"> </w:t>
      </w:r>
      <w:r w:rsidRPr="00846A70">
        <w:rPr>
          <w:rFonts w:ascii="Times New Roman" w:hAnsi="Times New Roman" w:cs="Times New Roman"/>
          <w:shd w:val="clear" w:color="auto" w:fill="FFFFFF"/>
        </w:rPr>
        <w:t>que</w:t>
      </w:r>
      <w:r w:rsidR="00EE65D0" w:rsidRPr="00846A70">
        <w:rPr>
          <w:rFonts w:ascii="Times New Roman" w:hAnsi="Times New Roman" w:cs="Times New Roman"/>
          <w:shd w:val="clear" w:color="auto" w:fill="FFFFFF"/>
        </w:rPr>
        <w:t xml:space="preserve"> aceptar el argumento de la d</w:t>
      </w:r>
      <w:r w:rsidRPr="00846A70">
        <w:rPr>
          <w:rFonts w:ascii="Times New Roman" w:hAnsi="Times New Roman" w:cs="Times New Roman"/>
          <w:shd w:val="clear" w:color="auto" w:fill="FFFFFF"/>
        </w:rPr>
        <w:t xml:space="preserve">efensa implicaría coartar “la posibilidad de la autoridad policial de revisar un automotor en circunstancias en que este resulta ser sospechoso, lo que importaría lisa y llanamente imposibilitar su labor de prevención, siempre en el marco del justo equilibrio que debe mediar entre el interés social de los delitos y el interés de la misma sociedad de que ello ocurra con respeto perseguir los delitos y el interés de la misma sociedad de que ello ocurra con respeto a las garantías individuales a las garantías individuales.” </w:t>
      </w:r>
    </w:p>
    <w:p w:rsidR="00D35BB3" w:rsidRPr="00846A70" w:rsidRDefault="00B67C4B" w:rsidP="00846A70">
      <w:pPr>
        <w:jc w:val="both"/>
        <w:rPr>
          <w:rFonts w:ascii="Times New Roman" w:hAnsi="Times New Roman" w:cs="Times New Roman"/>
          <w:lang w:val="es-MX"/>
        </w:rPr>
      </w:pPr>
      <w:r w:rsidRPr="00846A70">
        <w:rPr>
          <w:rFonts w:ascii="Times New Roman" w:hAnsi="Times New Roman" w:cs="Times New Roman"/>
          <w:lang w:val="es-MX"/>
        </w:rPr>
        <w:t xml:space="preserve">Contra la decisión de la Cámara Federal, el 12 de diciembre de 1996 la </w:t>
      </w:r>
      <w:r w:rsidR="001C056A" w:rsidRPr="00846A70">
        <w:rPr>
          <w:rFonts w:ascii="Times New Roman" w:hAnsi="Times New Roman" w:cs="Times New Roman"/>
          <w:lang w:val="es-MX"/>
        </w:rPr>
        <w:t>defensa</w:t>
      </w:r>
      <w:r w:rsidRPr="00846A70">
        <w:rPr>
          <w:rFonts w:ascii="Times New Roman" w:hAnsi="Times New Roman" w:cs="Times New Roman"/>
          <w:lang w:val="es-MX"/>
        </w:rPr>
        <w:t xml:space="preserve"> interpuso recurso extraordinario federal donde se reiteraron los argumentos expuestos en las anteriores instancias y advirtió el riesgo de que</w:t>
      </w:r>
      <w:r w:rsidRPr="00723D25">
        <w:rPr>
          <w:rFonts w:ascii="Times New Roman" w:hAnsi="Times New Roman" w:cs="Times New Roman"/>
          <w:lang w:val="es-MX"/>
        </w:rPr>
        <w:t xml:space="preserve"> </w:t>
      </w:r>
      <w:r w:rsidRPr="00846A70">
        <w:rPr>
          <w:rFonts w:ascii="Times New Roman" w:hAnsi="Times New Roman" w:cs="Times New Roman"/>
          <w:u w:val="single"/>
          <w:lang w:val="es-MX"/>
        </w:rPr>
        <w:t xml:space="preserve">“si se permitiera la detención de una persona “invocando solamente la existencia de un estado de sospecha sin importar la descripción del mismo, </w:t>
      </w:r>
      <w:r w:rsidR="00F4313D" w:rsidRPr="00846A70">
        <w:rPr>
          <w:rFonts w:ascii="Times New Roman" w:hAnsi="Times New Roman" w:cs="Times New Roman"/>
          <w:u w:val="single"/>
          <w:lang w:val="es-MX"/>
        </w:rPr>
        <w:t>[</w:t>
      </w:r>
      <w:r w:rsidRPr="00846A70">
        <w:rPr>
          <w:rFonts w:ascii="Times New Roman" w:hAnsi="Times New Roman" w:cs="Times New Roman"/>
          <w:u w:val="single"/>
          <w:lang w:val="es-MX"/>
        </w:rPr>
        <w:t>se estaría</w:t>
      </w:r>
      <w:r w:rsidR="00F4313D" w:rsidRPr="00846A70">
        <w:rPr>
          <w:rFonts w:ascii="Times New Roman" w:hAnsi="Times New Roman" w:cs="Times New Roman"/>
          <w:u w:val="single"/>
          <w:lang w:val="es-MX"/>
        </w:rPr>
        <w:t>]</w:t>
      </w:r>
      <w:r w:rsidRPr="00846A70">
        <w:rPr>
          <w:rFonts w:ascii="Times New Roman" w:hAnsi="Times New Roman" w:cs="Times New Roman"/>
          <w:u w:val="single"/>
          <w:lang w:val="es-MX"/>
        </w:rPr>
        <w:t xml:space="preserve"> autorizando a someter a los ciudadanos a la  requisa caprichosa de las fuerzas de seguridad basada en criterios de selección  espurios o de tipo ideológicos que no se corresponden con un Estado de Derecho</w:t>
      </w:r>
      <w:r w:rsidR="00F4313D" w:rsidRPr="00846A70">
        <w:rPr>
          <w:rFonts w:ascii="Times New Roman" w:hAnsi="Times New Roman" w:cs="Times New Roman"/>
          <w:u w:val="single"/>
          <w:lang w:val="es-MX"/>
        </w:rPr>
        <w:t>”.</w:t>
      </w:r>
      <w:r w:rsidR="00773CEA" w:rsidRPr="00846A70">
        <w:rPr>
          <w:rFonts w:ascii="Times New Roman" w:hAnsi="Times New Roman" w:cs="Times New Roman"/>
          <w:lang w:val="es-MX"/>
        </w:rPr>
        <w:t xml:space="preserve"> El 14 de febrero de 1997 la Cámara Federal de la Ciudad de Mar del Plata declaró improced</w:t>
      </w:r>
      <w:r w:rsidR="001C056A" w:rsidRPr="00846A70">
        <w:rPr>
          <w:rFonts w:ascii="Times New Roman" w:hAnsi="Times New Roman" w:cs="Times New Roman"/>
          <w:lang w:val="es-MX"/>
        </w:rPr>
        <w:t>ente el recurso extraordinario al</w:t>
      </w:r>
      <w:r w:rsidR="00773CEA" w:rsidRPr="00846A70">
        <w:rPr>
          <w:rFonts w:ascii="Times New Roman" w:hAnsi="Times New Roman" w:cs="Times New Roman"/>
          <w:lang w:val="es-MX"/>
        </w:rPr>
        <w:t xml:space="preserve"> considerar que no se configuraba en el caso gravedad institucional que afectase las instituciones básicas de la Nación, ni surgía en forma manifiesta la cuestión federal invocada.</w:t>
      </w:r>
    </w:p>
    <w:p w:rsidR="001C056A" w:rsidRPr="00846A70" w:rsidRDefault="001C056A" w:rsidP="00846A70">
      <w:pPr>
        <w:jc w:val="both"/>
        <w:rPr>
          <w:rFonts w:ascii="Times New Roman" w:hAnsi="Times New Roman" w:cs="Times New Roman"/>
          <w:u w:val="single"/>
          <w:lang w:val="es-MX"/>
        </w:rPr>
      </w:pPr>
      <w:r w:rsidRPr="00846A70">
        <w:rPr>
          <w:rFonts w:ascii="Times New Roman" w:hAnsi="Times New Roman" w:cs="Times New Roman"/>
          <w:lang w:val="es-MX"/>
        </w:rPr>
        <w:t xml:space="preserve">Finalmente, ante dicho rechazo se interpuso el 28 de septiembre de 1997 una queja ante la Corte Suprema de la Nación, donde se reiteró que “en ningún pasaje del expediente se explicitaron ni </w:t>
      </w:r>
      <w:r w:rsidRPr="00846A70">
        <w:rPr>
          <w:rFonts w:ascii="Times New Roman" w:hAnsi="Times New Roman" w:cs="Times New Roman"/>
          <w:lang w:val="es-MX"/>
        </w:rPr>
        <w:lastRenderedPageBreak/>
        <w:t>enumeraron los conceptos que sustentaron el estado de sospecha, lo cual constituía un supuesto de gravedad institucional “</w:t>
      </w:r>
      <w:r w:rsidRPr="00846A70">
        <w:rPr>
          <w:rFonts w:ascii="Times New Roman" w:hAnsi="Times New Roman" w:cs="Times New Roman"/>
          <w:u w:val="single"/>
          <w:lang w:val="es-MX"/>
        </w:rPr>
        <w:t xml:space="preserve">la detención y posterior requisa  de un ciudadano efectuada en abierta violación de las garantías constitucionales”,  pues ello afectaba “principios fundamentales de orden social y atinente a instituciones  básicas del derecho, como son las que se vinculan con la libertad y seguridad individual  de todos los ciudadanos.” En el mismo sentido, la defensa señaló que agregó que “[l]a diaria reproducción de irregularidades y abusos policiales semejantes al que nos ocupa –y más graves aún–, pone de manifiesto el interés institucional que reviste la cuestión, teniendo en </w:t>
      </w:r>
      <w:r w:rsidR="005F12D5" w:rsidRPr="00846A70">
        <w:rPr>
          <w:rFonts w:ascii="Times New Roman" w:hAnsi="Times New Roman" w:cs="Times New Roman"/>
          <w:u w:val="single"/>
          <w:lang w:val="es-MX"/>
        </w:rPr>
        <w:t>cuenta que</w:t>
      </w:r>
      <w:r w:rsidRPr="00846A70">
        <w:rPr>
          <w:rFonts w:ascii="Times New Roman" w:hAnsi="Times New Roman" w:cs="Times New Roman"/>
          <w:u w:val="single"/>
          <w:lang w:val="es-MX"/>
        </w:rPr>
        <w:t xml:space="preserve"> la gran cantidad de casos similares planteados amenazan las bases de </w:t>
      </w:r>
      <w:r w:rsidR="005F12D5" w:rsidRPr="00846A70">
        <w:rPr>
          <w:rFonts w:ascii="Times New Roman" w:hAnsi="Times New Roman" w:cs="Times New Roman"/>
          <w:u w:val="single"/>
          <w:lang w:val="es-MX"/>
        </w:rPr>
        <w:t>una convivencia</w:t>
      </w:r>
      <w:r w:rsidRPr="00846A70">
        <w:rPr>
          <w:rFonts w:ascii="Times New Roman" w:hAnsi="Times New Roman" w:cs="Times New Roman"/>
          <w:u w:val="single"/>
          <w:lang w:val="es-MX"/>
        </w:rPr>
        <w:t xml:space="preserve"> pacífica y subvierte la función de los organismos policiales”.</w:t>
      </w:r>
    </w:p>
    <w:p w:rsidR="00CF5BAB" w:rsidRDefault="005F12D5" w:rsidP="00846A70">
      <w:pPr>
        <w:jc w:val="both"/>
        <w:rPr>
          <w:rFonts w:ascii="Times New Roman" w:hAnsi="Times New Roman" w:cs="Times New Roman"/>
          <w:lang w:val="es-MX"/>
        </w:rPr>
      </w:pPr>
      <w:r w:rsidRPr="00846A70">
        <w:rPr>
          <w:rFonts w:ascii="Times New Roman" w:hAnsi="Times New Roman" w:cs="Times New Roman"/>
          <w:lang w:val="es-MX"/>
        </w:rPr>
        <w:t>El 12 de noviembre de 1998, la Corte Suprema de Justicia de la Nación</w:t>
      </w:r>
      <w:r w:rsidR="00C90EF6" w:rsidRPr="00846A70">
        <w:rPr>
          <w:rFonts w:ascii="Times New Roman" w:hAnsi="Times New Roman" w:cs="Times New Roman"/>
          <w:lang w:val="es-MX"/>
        </w:rPr>
        <w:t xml:space="preserve"> (CSJN)</w:t>
      </w:r>
      <w:r w:rsidRPr="00846A70">
        <w:rPr>
          <w:rFonts w:ascii="Times New Roman" w:hAnsi="Times New Roman" w:cs="Times New Roman"/>
          <w:lang w:val="es-MX"/>
        </w:rPr>
        <w:t xml:space="preserve"> emitió su sentencia en la que una mayoría de cuatro magistrados sobre un total de siete ratificó el fallo apelado y validó la detención del señor Fernández Prieto argumentando que se trató de una actuación prudente y razonable del personal policial.</w:t>
      </w:r>
      <w:r w:rsidRPr="00846A70">
        <w:rPr>
          <w:rStyle w:val="Refdenotaalpie"/>
          <w:rFonts w:ascii="Times New Roman" w:hAnsi="Times New Roman" w:cs="Times New Roman"/>
          <w:lang w:val="es-MX"/>
        </w:rPr>
        <w:footnoteReference w:id="4"/>
      </w:r>
      <w:r w:rsidR="005504BA" w:rsidRPr="00846A70">
        <w:rPr>
          <w:rFonts w:ascii="Times New Roman" w:hAnsi="Times New Roman" w:cs="Times New Roman"/>
          <w:lang w:val="es-MX"/>
        </w:rPr>
        <w:t xml:space="preserve"> Entre los argumentos expuestos por dicha mayoría que </w:t>
      </w:r>
      <w:r w:rsidR="005504BA" w:rsidRPr="00846A70">
        <w:rPr>
          <w:rFonts w:ascii="Times New Roman" w:hAnsi="Times New Roman" w:cs="Times New Roman"/>
          <w:u w:val="single"/>
          <w:lang w:val="es-MX"/>
        </w:rPr>
        <w:t xml:space="preserve">los agentes de la policía </w:t>
      </w:r>
      <w:r w:rsidR="00723D25">
        <w:rPr>
          <w:rFonts w:ascii="Times New Roman" w:hAnsi="Times New Roman" w:cs="Times New Roman"/>
          <w:u w:val="single"/>
          <w:lang w:val="es-MX"/>
        </w:rPr>
        <w:t>habían sido</w:t>
      </w:r>
      <w:r w:rsidR="00496CC7" w:rsidRPr="00846A70">
        <w:rPr>
          <w:rFonts w:ascii="Times New Roman" w:hAnsi="Times New Roman" w:cs="Times New Roman"/>
          <w:u w:val="single"/>
          <w:lang w:val="es-MX"/>
        </w:rPr>
        <w:t xml:space="preserve"> </w:t>
      </w:r>
      <w:r w:rsidR="005504BA" w:rsidRPr="00846A70">
        <w:rPr>
          <w:rFonts w:ascii="Times New Roman" w:hAnsi="Times New Roman" w:cs="Times New Roman"/>
          <w:u w:val="single"/>
          <w:lang w:val="es-MX"/>
        </w:rPr>
        <w:t>comisionados para recorrer el radio de la jurisdicci</w:t>
      </w:r>
      <w:r w:rsidR="00496CC7" w:rsidRPr="00846A70">
        <w:rPr>
          <w:rFonts w:ascii="Times New Roman" w:hAnsi="Times New Roman" w:cs="Times New Roman"/>
          <w:u w:val="single"/>
          <w:lang w:val="es-MX"/>
        </w:rPr>
        <w:t xml:space="preserve">ón en la específica función de </w:t>
      </w:r>
      <w:r w:rsidR="005504BA" w:rsidRPr="00846A70">
        <w:rPr>
          <w:rFonts w:ascii="Times New Roman" w:hAnsi="Times New Roman" w:cs="Times New Roman"/>
          <w:u w:val="single"/>
          <w:lang w:val="es-MX"/>
        </w:rPr>
        <w:t>prevención del delito y en ese contexto interceptaron un</w:t>
      </w:r>
      <w:r w:rsidR="00496CC7" w:rsidRPr="00846A70">
        <w:rPr>
          <w:rFonts w:ascii="Times New Roman" w:hAnsi="Times New Roman" w:cs="Times New Roman"/>
          <w:u w:val="single"/>
          <w:lang w:val="es-MX"/>
        </w:rPr>
        <w:t xml:space="preserve"> automóvil al advertir que </w:t>
      </w:r>
      <w:r w:rsidR="00CF5BAB" w:rsidRPr="00846A70">
        <w:rPr>
          <w:rFonts w:ascii="Times New Roman" w:hAnsi="Times New Roman" w:cs="Times New Roman"/>
          <w:u w:val="single"/>
          <w:lang w:val="es-MX"/>
        </w:rPr>
        <w:t>las personas</w:t>
      </w:r>
      <w:r w:rsidR="005504BA" w:rsidRPr="00846A70">
        <w:rPr>
          <w:rFonts w:ascii="Times New Roman" w:hAnsi="Times New Roman" w:cs="Times New Roman"/>
          <w:u w:val="single"/>
          <w:lang w:val="es-MX"/>
        </w:rPr>
        <w:t xml:space="preserve"> que se encontraban en su interior se hallaban</w:t>
      </w:r>
      <w:r w:rsidR="00496CC7" w:rsidRPr="00846A70">
        <w:rPr>
          <w:rFonts w:ascii="Times New Roman" w:hAnsi="Times New Roman" w:cs="Times New Roman"/>
          <w:u w:val="single"/>
          <w:lang w:val="es-MX"/>
        </w:rPr>
        <w:t xml:space="preserve"> en ‘actitud sospechosa’ de </w:t>
      </w:r>
      <w:r w:rsidR="00CF5BAB" w:rsidRPr="00846A70">
        <w:rPr>
          <w:rFonts w:ascii="Times New Roman" w:hAnsi="Times New Roman" w:cs="Times New Roman"/>
          <w:u w:val="single"/>
          <w:lang w:val="es-MX"/>
        </w:rPr>
        <w:t>la presunta</w:t>
      </w:r>
      <w:r w:rsidR="005504BA" w:rsidRPr="00846A70">
        <w:rPr>
          <w:rFonts w:ascii="Times New Roman" w:hAnsi="Times New Roman" w:cs="Times New Roman"/>
          <w:u w:val="single"/>
          <w:lang w:val="es-MX"/>
        </w:rPr>
        <w:t xml:space="preserve"> comisión de un delito, sospecha que fue </w:t>
      </w:r>
      <w:r w:rsidR="00496CC7" w:rsidRPr="00846A70">
        <w:rPr>
          <w:rFonts w:ascii="Times New Roman" w:hAnsi="Times New Roman" w:cs="Times New Roman"/>
          <w:u w:val="single"/>
          <w:lang w:val="es-MX"/>
        </w:rPr>
        <w:t xml:space="preserve">corroborada con el hallazgo </w:t>
      </w:r>
      <w:r w:rsidR="00CF5BAB" w:rsidRPr="00846A70">
        <w:rPr>
          <w:rFonts w:ascii="Times New Roman" w:hAnsi="Times New Roman" w:cs="Times New Roman"/>
          <w:u w:val="single"/>
          <w:lang w:val="es-MX"/>
        </w:rPr>
        <w:t>de efectos</w:t>
      </w:r>
      <w:r w:rsidR="005504BA" w:rsidRPr="00846A70">
        <w:rPr>
          <w:rFonts w:ascii="Times New Roman" w:hAnsi="Times New Roman" w:cs="Times New Roman"/>
          <w:u w:val="single"/>
          <w:lang w:val="es-MX"/>
        </w:rPr>
        <w:t xml:space="preserve"> vinculados con el tráfico de estupefacie</w:t>
      </w:r>
      <w:r w:rsidR="00496CC7" w:rsidRPr="00846A70">
        <w:rPr>
          <w:rFonts w:ascii="Times New Roman" w:hAnsi="Times New Roman" w:cs="Times New Roman"/>
          <w:u w:val="single"/>
          <w:lang w:val="es-MX"/>
        </w:rPr>
        <w:t xml:space="preserve">ntes y habiendo así </w:t>
      </w:r>
      <w:r w:rsidR="00CF5BAB" w:rsidRPr="00846A70">
        <w:rPr>
          <w:rFonts w:ascii="Times New Roman" w:hAnsi="Times New Roman" w:cs="Times New Roman"/>
          <w:u w:val="single"/>
          <w:lang w:val="es-MX"/>
        </w:rPr>
        <w:t>procedido, comunicaron</w:t>
      </w:r>
      <w:r w:rsidR="005504BA" w:rsidRPr="00846A70">
        <w:rPr>
          <w:rFonts w:ascii="Times New Roman" w:hAnsi="Times New Roman" w:cs="Times New Roman"/>
          <w:u w:val="single"/>
          <w:lang w:val="es-MX"/>
        </w:rPr>
        <w:t xml:space="preserve"> de inme</w:t>
      </w:r>
      <w:r w:rsidR="00496CC7" w:rsidRPr="00846A70">
        <w:rPr>
          <w:rFonts w:ascii="Times New Roman" w:hAnsi="Times New Roman" w:cs="Times New Roman"/>
          <w:u w:val="single"/>
          <w:lang w:val="es-MX"/>
        </w:rPr>
        <w:t>diato la detención al juez”.</w:t>
      </w:r>
      <w:r w:rsidR="00496CC7" w:rsidRPr="00846A70">
        <w:rPr>
          <w:rFonts w:ascii="Times New Roman" w:hAnsi="Times New Roman" w:cs="Times New Roman"/>
          <w:lang w:val="es-MX"/>
        </w:rPr>
        <w:t xml:space="preserve"> </w:t>
      </w:r>
      <w:r w:rsidR="005504BA" w:rsidRPr="00846A70">
        <w:rPr>
          <w:rFonts w:ascii="Times New Roman" w:hAnsi="Times New Roman" w:cs="Times New Roman"/>
          <w:lang w:val="es-MX"/>
        </w:rPr>
        <w:t>Por l</w:t>
      </w:r>
      <w:r w:rsidR="00496CC7" w:rsidRPr="00846A70">
        <w:rPr>
          <w:rFonts w:ascii="Times New Roman" w:hAnsi="Times New Roman" w:cs="Times New Roman"/>
          <w:lang w:val="es-MX"/>
        </w:rPr>
        <w:t>o tanto, concluyó que no había habido</w:t>
      </w:r>
      <w:r w:rsidR="005504BA" w:rsidRPr="00846A70">
        <w:rPr>
          <w:rFonts w:ascii="Times New Roman" w:hAnsi="Times New Roman" w:cs="Times New Roman"/>
          <w:lang w:val="es-MX"/>
        </w:rPr>
        <w:t xml:space="preserve"> irregularidades en el procedimiento violatorias </w:t>
      </w:r>
      <w:r w:rsidR="00496CC7" w:rsidRPr="00846A70">
        <w:rPr>
          <w:rFonts w:ascii="Times New Roman" w:hAnsi="Times New Roman" w:cs="Times New Roman"/>
          <w:lang w:val="es-MX"/>
        </w:rPr>
        <w:t xml:space="preserve">del debido proceso legal y </w:t>
      </w:r>
      <w:r w:rsidR="001E4FFA" w:rsidRPr="00846A70">
        <w:rPr>
          <w:rFonts w:ascii="Times New Roman" w:hAnsi="Times New Roman" w:cs="Times New Roman"/>
          <w:lang w:val="es-MX"/>
        </w:rPr>
        <w:t xml:space="preserve">que los argumentos de la defensa </w:t>
      </w:r>
      <w:r w:rsidR="005504BA" w:rsidRPr="00846A70">
        <w:rPr>
          <w:rFonts w:ascii="Times New Roman" w:hAnsi="Times New Roman" w:cs="Times New Roman"/>
          <w:lang w:val="es-MX"/>
        </w:rPr>
        <w:t>no podían pro</w:t>
      </w:r>
      <w:r w:rsidR="0047566D">
        <w:rPr>
          <w:rFonts w:ascii="Times New Roman" w:hAnsi="Times New Roman" w:cs="Times New Roman"/>
          <w:lang w:val="es-MX"/>
        </w:rPr>
        <w:t>sperar.</w:t>
      </w:r>
    </w:p>
    <w:p w:rsidR="00F36C48" w:rsidRPr="00846A70" w:rsidRDefault="00146862" w:rsidP="002B7727">
      <w:pPr>
        <w:pStyle w:val="Elementa3"/>
        <w:numPr>
          <w:ilvl w:val="0"/>
          <w:numId w:val="15"/>
        </w:numPr>
        <w:spacing w:line="276" w:lineRule="auto"/>
      </w:pPr>
      <w:r w:rsidRPr="00846A70">
        <w:t>Detención de Carlos Alejandro Tumbeiro</w:t>
      </w:r>
      <w:r w:rsidR="00A438EB" w:rsidRPr="00846A70">
        <w:t xml:space="preserve"> y proceso penal en su contra</w:t>
      </w:r>
    </w:p>
    <w:p w:rsidR="00A438EB" w:rsidRPr="00846A70" w:rsidRDefault="00A438EB" w:rsidP="00846A70">
      <w:pPr>
        <w:pStyle w:val="Elementa3"/>
        <w:spacing w:line="276" w:lineRule="auto"/>
      </w:pPr>
    </w:p>
    <w:p w:rsidR="00F36C48" w:rsidRPr="00846A70" w:rsidRDefault="00F36C48" w:rsidP="00846A70">
      <w:pPr>
        <w:jc w:val="both"/>
        <w:rPr>
          <w:rFonts w:ascii="Times New Roman" w:hAnsi="Times New Roman" w:cs="Times New Roman"/>
        </w:rPr>
      </w:pPr>
      <w:r w:rsidRPr="00846A70">
        <w:rPr>
          <w:rFonts w:ascii="Times New Roman" w:hAnsi="Times New Roman" w:cs="Times New Roman"/>
        </w:rPr>
        <w:t xml:space="preserve">El 15 de enero de 1998, funcionarios de la Policía Federal Argentina detuvieron a Carlos Alejandro Tumbeiro, mientras caminaba a plena luz del día por un barrio de la Ciudad de Buenos Aires. A solicitud de la policía, el señor Tumbeiro acreditó correctamente su identidad. Sin embargo, sin mediar motivo concreto para sospechar la comisión de un delito, los agentes policiales consideraron que presentaba un estado de nerviosismo y que iba vestido de una forma que no se condecía con la vestimenta de la gente que habitaba en la zona, todo lo cual configuraba a su entender justificación suficiente para exigir que vacíe sus bolsillos y mostrara sus pertenencias. </w:t>
      </w:r>
    </w:p>
    <w:p w:rsidR="00E87125" w:rsidRPr="00846A70" w:rsidRDefault="00F36C48" w:rsidP="00846A70">
      <w:pPr>
        <w:jc w:val="both"/>
        <w:rPr>
          <w:rFonts w:ascii="Times New Roman" w:hAnsi="Times New Roman" w:cs="Times New Roman"/>
        </w:rPr>
      </w:pPr>
      <w:r w:rsidRPr="00846A70">
        <w:rPr>
          <w:rFonts w:ascii="Times New Roman" w:hAnsi="Times New Roman" w:cs="Times New Roman"/>
        </w:rPr>
        <w:t>Al no encontrar nada ilícito en las mismas, los policías obligaron al señor Tumbeiro a subir a un auto de la policía, donde fue sometido a una nueva requisa en la que se le requirió que se bajara los pantalones y la ropa interior. Durante la cadena de los hechos anteriormente citados, no se había llamado a los dos testigos de procedimiento.</w:t>
      </w:r>
      <w:r w:rsidR="00547FCA" w:rsidRPr="00846A70">
        <w:rPr>
          <w:rFonts w:ascii="Times New Roman" w:hAnsi="Times New Roman" w:cs="Times New Roman"/>
        </w:rPr>
        <w:t xml:space="preserve"> </w:t>
      </w:r>
      <w:r w:rsidR="00547FCA" w:rsidRPr="00846A70">
        <w:rPr>
          <w:rFonts w:ascii="Times New Roman" w:hAnsi="Times New Roman" w:cs="Times New Roman"/>
          <w:lang w:val="es-MX"/>
        </w:rPr>
        <w:t>A partir de dicho momento, se observan inc</w:t>
      </w:r>
      <w:r w:rsidR="00043AC5" w:rsidRPr="00846A70">
        <w:rPr>
          <w:rFonts w:ascii="Times New Roman" w:hAnsi="Times New Roman" w:cs="Times New Roman"/>
          <w:lang w:val="es-MX"/>
        </w:rPr>
        <w:t>onsistencias entre las declaraciones</w:t>
      </w:r>
      <w:r w:rsidR="002C2B5D" w:rsidRPr="00846A70">
        <w:rPr>
          <w:rFonts w:ascii="Times New Roman" w:hAnsi="Times New Roman" w:cs="Times New Roman"/>
          <w:lang w:val="es-MX"/>
        </w:rPr>
        <w:t xml:space="preserve"> del informe oficial y las declaraciones en juicio por parte</w:t>
      </w:r>
      <w:r w:rsidR="00043AC5" w:rsidRPr="00846A70">
        <w:rPr>
          <w:rFonts w:ascii="Times New Roman" w:hAnsi="Times New Roman" w:cs="Times New Roman"/>
          <w:lang w:val="es-MX"/>
        </w:rPr>
        <w:t xml:space="preserve"> de</w:t>
      </w:r>
      <w:r w:rsidR="00547FCA" w:rsidRPr="00846A70">
        <w:rPr>
          <w:rFonts w:ascii="Times New Roman" w:hAnsi="Times New Roman" w:cs="Times New Roman"/>
          <w:lang w:val="es-MX"/>
        </w:rPr>
        <w:t xml:space="preserve"> los</w:t>
      </w:r>
      <w:r w:rsidR="002C2B5D" w:rsidRPr="00846A70">
        <w:rPr>
          <w:rFonts w:ascii="Times New Roman" w:hAnsi="Times New Roman" w:cs="Times New Roman"/>
          <w:lang w:val="es-MX"/>
        </w:rPr>
        <w:t xml:space="preserve"> policías y las versiones de los testigos de procedimiento. </w:t>
      </w:r>
    </w:p>
    <w:tbl>
      <w:tblPr>
        <w:tblStyle w:val="Tablaconcuadrcula"/>
        <w:tblW w:w="9923" w:type="dxa"/>
        <w:jc w:val="center"/>
        <w:tblLook w:val="04A0" w:firstRow="1" w:lastRow="0" w:firstColumn="1" w:lastColumn="0" w:noHBand="0" w:noVBand="1"/>
      </w:tblPr>
      <w:tblGrid>
        <w:gridCol w:w="2410"/>
        <w:gridCol w:w="2586"/>
        <w:gridCol w:w="2517"/>
        <w:gridCol w:w="2410"/>
      </w:tblGrid>
      <w:tr w:rsidR="00F96E75" w:rsidRPr="00846A70" w:rsidTr="00723D25">
        <w:trPr>
          <w:jc w:val="center"/>
        </w:trPr>
        <w:tc>
          <w:tcPr>
            <w:tcW w:w="2410" w:type="dxa"/>
          </w:tcPr>
          <w:p w:rsidR="00A438EB" w:rsidRPr="00846A70" w:rsidRDefault="00A438EB" w:rsidP="00846A70">
            <w:pPr>
              <w:rPr>
                <w:rFonts w:ascii="Times New Roman" w:hAnsi="Times New Roman" w:cs="Times New Roman"/>
                <w:b/>
              </w:rPr>
            </w:pPr>
            <w:r w:rsidRPr="00846A70">
              <w:rPr>
                <w:rFonts w:ascii="Times New Roman" w:hAnsi="Times New Roman" w:cs="Times New Roman"/>
                <w:b/>
              </w:rPr>
              <w:t xml:space="preserve">                </w:t>
            </w:r>
            <w:r w:rsidR="00237B7F" w:rsidRPr="00846A70">
              <w:rPr>
                <w:rFonts w:ascii="Times New Roman" w:hAnsi="Times New Roman" w:cs="Times New Roman"/>
                <w:b/>
              </w:rPr>
              <w:t xml:space="preserve">  </w:t>
            </w:r>
            <w:r w:rsidRPr="00846A70">
              <w:rPr>
                <w:rFonts w:ascii="Times New Roman" w:hAnsi="Times New Roman" w:cs="Times New Roman"/>
                <w:b/>
              </w:rPr>
              <w:t>Hecho</w:t>
            </w:r>
          </w:p>
        </w:tc>
        <w:tc>
          <w:tcPr>
            <w:tcW w:w="2586" w:type="dxa"/>
          </w:tcPr>
          <w:p w:rsidR="00A438EB" w:rsidRPr="00846A70" w:rsidRDefault="00A438EB" w:rsidP="00846A70">
            <w:pPr>
              <w:rPr>
                <w:rFonts w:ascii="Times New Roman" w:hAnsi="Times New Roman" w:cs="Times New Roman"/>
                <w:b/>
              </w:rPr>
            </w:pPr>
            <w:r w:rsidRPr="00846A70">
              <w:rPr>
                <w:rFonts w:ascii="Times New Roman" w:eastAsia="MS Mincho" w:hAnsi="Times New Roman" w:cs="Times New Roman"/>
                <w:b/>
                <w:i/>
                <w:color w:val="1BE3B4"/>
                <w:sz w:val="24"/>
                <w:szCs w:val="24"/>
                <w:bdr w:val="none" w:sz="0" w:space="0" w:color="auto"/>
                <w:lang w:val="es-ES"/>
              </w:rPr>
              <w:t xml:space="preserve">      </w:t>
            </w:r>
            <w:r w:rsidR="00033C24" w:rsidRPr="00846A70">
              <w:rPr>
                <w:rFonts w:ascii="Times New Roman" w:hAnsi="Times New Roman" w:cs="Times New Roman"/>
                <w:b/>
              </w:rPr>
              <w:t xml:space="preserve">        </w:t>
            </w:r>
            <w:r w:rsidRPr="00846A70">
              <w:rPr>
                <w:rFonts w:ascii="Times New Roman" w:hAnsi="Times New Roman" w:cs="Times New Roman"/>
                <w:b/>
              </w:rPr>
              <w:t xml:space="preserve"> Policía</w:t>
            </w:r>
          </w:p>
        </w:tc>
        <w:tc>
          <w:tcPr>
            <w:tcW w:w="2517" w:type="dxa"/>
          </w:tcPr>
          <w:p w:rsidR="00A438EB" w:rsidRPr="00846A70" w:rsidRDefault="00A438EB" w:rsidP="00846A70">
            <w:pPr>
              <w:jc w:val="center"/>
              <w:rPr>
                <w:rFonts w:ascii="Times New Roman" w:hAnsi="Times New Roman" w:cs="Times New Roman"/>
                <w:b/>
              </w:rPr>
            </w:pPr>
            <w:r w:rsidRPr="00846A70">
              <w:rPr>
                <w:rFonts w:ascii="Times New Roman" w:hAnsi="Times New Roman" w:cs="Times New Roman"/>
                <w:b/>
              </w:rPr>
              <w:t>Testigos</w:t>
            </w:r>
          </w:p>
        </w:tc>
        <w:tc>
          <w:tcPr>
            <w:tcW w:w="2410" w:type="dxa"/>
          </w:tcPr>
          <w:p w:rsidR="00A438EB" w:rsidRPr="00846A70" w:rsidRDefault="00A438EB" w:rsidP="00846A70">
            <w:pPr>
              <w:jc w:val="center"/>
              <w:rPr>
                <w:rFonts w:ascii="Times New Roman" w:hAnsi="Times New Roman" w:cs="Times New Roman"/>
                <w:b/>
              </w:rPr>
            </w:pPr>
            <w:r w:rsidRPr="00846A70">
              <w:rPr>
                <w:rFonts w:ascii="Times New Roman" w:hAnsi="Times New Roman" w:cs="Times New Roman"/>
                <w:b/>
              </w:rPr>
              <w:t>Declaración CAT</w:t>
            </w:r>
          </w:p>
        </w:tc>
      </w:tr>
      <w:tr w:rsidR="00F96E75" w:rsidRPr="00846A70" w:rsidTr="00723D25">
        <w:trPr>
          <w:jc w:val="center"/>
        </w:trPr>
        <w:tc>
          <w:tcPr>
            <w:tcW w:w="2410" w:type="dxa"/>
          </w:tcPr>
          <w:p w:rsidR="00237B7F" w:rsidRPr="00846A70" w:rsidRDefault="00237B7F" w:rsidP="00846A70">
            <w:pPr>
              <w:rPr>
                <w:rFonts w:ascii="Times New Roman" w:hAnsi="Times New Roman" w:cs="Times New Roman"/>
              </w:rPr>
            </w:pPr>
            <w:r w:rsidRPr="00846A70">
              <w:rPr>
                <w:rFonts w:ascii="Times New Roman" w:hAnsi="Times New Roman" w:cs="Times New Roman"/>
              </w:rPr>
              <w:t xml:space="preserve">Requisas al señor Tumbeiro fuera y dentro </w:t>
            </w:r>
            <w:r w:rsidRPr="00846A70">
              <w:rPr>
                <w:rFonts w:ascii="Times New Roman" w:hAnsi="Times New Roman" w:cs="Times New Roman"/>
              </w:rPr>
              <w:lastRenderedPageBreak/>
              <w:t>de la patrulla de la policía.</w:t>
            </w:r>
          </w:p>
          <w:p w:rsidR="00F96E75" w:rsidRPr="00846A70" w:rsidRDefault="00F96E75" w:rsidP="00846A70">
            <w:pPr>
              <w:rPr>
                <w:rFonts w:ascii="Times New Roman" w:hAnsi="Times New Roman" w:cs="Times New Roman"/>
              </w:rPr>
            </w:pPr>
          </w:p>
        </w:tc>
        <w:tc>
          <w:tcPr>
            <w:tcW w:w="2586" w:type="dxa"/>
          </w:tcPr>
          <w:p w:rsidR="0094478E" w:rsidRPr="00846A70" w:rsidRDefault="0094478E" w:rsidP="00846A70">
            <w:pPr>
              <w:rPr>
                <w:rFonts w:ascii="Times New Roman" w:hAnsi="Times New Roman" w:cs="Times New Roman"/>
                <w:b/>
              </w:rPr>
            </w:pPr>
            <w:r w:rsidRPr="00846A70">
              <w:rPr>
                <w:rFonts w:ascii="Times New Roman" w:hAnsi="Times New Roman" w:cs="Times New Roman"/>
                <w:b/>
              </w:rPr>
              <w:lastRenderedPageBreak/>
              <w:t>Declaración en sede policial:</w:t>
            </w:r>
          </w:p>
          <w:p w:rsidR="00F96E75" w:rsidRPr="00846A70" w:rsidRDefault="00033C24" w:rsidP="00846A70">
            <w:pPr>
              <w:rPr>
                <w:rFonts w:ascii="Times New Roman" w:hAnsi="Times New Roman" w:cs="Times New Roman"/>
              </w:rPr>
            </w:pPr>
            <w:r w:rsidRPr="00846A70">
              <w:rPr>
                <w:rFonts w:ascii="Times New Roman" w:hAnsi="Times New Roman" w:cs="Times New Roman"/>
                <w:i/>
              </w:rPr>
              <w:lastRenderedPageBreak/>
              <w:t>Declaración Subinspector Gerardo Ibarra:</w:t>
            </w:r>
            <w:r w:rsidR="005B760F" w:rsidRPr="00846A70">
              <w:rPr>
                <w:rFonts w:ascii="Times New Roman" w:hAnsi="Times New Roman" w:cs="Times New Roman"/>
              </w:rPr>
              <w:t xml:space="preserve"> a eso de las 13.45, caminando por la ca</w:t>
            </w:r>
            <w:r w:rsidR="00927F91" w:rsidRPr="00846A70">
              <w:rPr>
                <w:rFonts w:ascii="Times New Roman" w:hAnsi="Times New Roman" w:cs="Times New Roman"/>
              </w:rPr>
              <w:t xml:space="preserve">lle Corea 1752 de la Ciudad de </w:t>
            </w:r>
            <w:r w:rsidR="005B760F" w:rsidRPr="00846A70">
              <w:rPr>
                <w:rFonts w:ascii="Times New Roman" w:hAnsi="Times New Roman" w:cs="Times New Roman"/>
              </w:rPr>
              <w:t>Buenos Aires, vio “una persona del sexo masculino</w:t>
            </w:r>
            <w:r w:rsidR="00424692" w:rsidRPr="00846A70">
              <w:rPr>
                <w:rFonts w:ascii="Times New Roman" w:hAnsi="Times New Roman" w:cs="Times New Roman"/>
              </w:rPr>
              <w:t xml:space="preserve"> el cual se hallaba vestido con </w:t>
            </w:r>
            <w:r w:rsidR="005B760F" w:rsidRPr="00846A70">
              <w:rPr>
                <w:rFonts w:ascii="Times New Roman" w:hAnsi="Times New Roman" w:cs="Times New Roman"/>
              </w:rPr>
              <w:t>zapatos negros, pantalón jean azul y camisa a cuadros, e</w:t>
            </w:r>
            <w:r w:rsidR="00927F91" w:rsidRPr="00846A70">
              <w:rPr>
                <w:rFonts w:ascii="Times New Roman" w:hAnsi="Times New Roman" w:cs="Times New Roman"/>
              </w:rPr>
              <w:t>l que al observar la presencia policial</w:t>
            </w:r>
            <w:r w:rsidR="005B760F" w:rsidRPr="00846A70">
              <w:rPr>
                <w:rFonts w:ascii="Times New Roman" w:hAnsi="Times New Roman" w:cs="Times New Roman"/>
              </w:rPr>
              <w:t xml:space="preserve"> se mostró sumamente nervioso y dubitativo a la vez que intentaba eludir el paso del móvil policial”. A su vez, </w:t>
            </w:r>
            <w:r w:rsidR="00927F91" w:rsidRPr="00846A70">
              <w:rPr>
                <w:rFonts w:ascii="Times New Roman" w:hAnsi="Times New Roman" w:cs="Times New Roman"/>
              </w:rPr>
              <w:t>indicó que “[a]tento a ello, se procedió a detener su marcha</w:t>
            </w:r>
            <w:r w:rsidR="005B760F" w:rsidRPr="00846A70">
              <w:rPr>
                <w:rFonts w:ascii="Times New Roman" w:hAnsi="Times New Roman" w:cs="Times New Roman"/>
              </w:rPr>
              <w:t xml:space="preserve"> y con el objeto de verificar si registraba algún i</w:t>
            </w:r>
            <w:r w:rsidR="00927F91" w:rsidRPr="00846A70">
              <w:rPr>
                <w:rFonts w:ascii="Times New Roman" w:hAnsi="Times New Roman" w:cs="Times New Roman"/>
              </w:rPr>
              <w:t xml:space="preserve">mpedimento legal, se invitó al </w:t>
            </w:r>
            <w:r w:rsidR="005B760F" w:rsidRPr="00846A70">
              <w:rPr>
                <w:rFonts w:ascii="Times New Roman" w:hAnsi="Times New Roman" w:cs="Times New Roman"/>
              </w:rPr>
              <w:t>mismo a ascender al móvil hasta tanto se determine</w:t>
            </w:r>
            <w:r w:rsidR="0094478E" w:rsidRPr="00846A70">
              <w:rPr>
                <w:rFonts w:ascii="Times New Roman" w:hAnsi="Times New Roman" w:cs="Times New Roman"/>
              </w:rPr>
              <w:t xml:space="preserve"> </w:t>
            </w:r>
            <w:r w:rsidR="005B760F" w:rsidRPr="00846A70">
              <w:rPr>
                <w:rFonts w:ascii="Times New Roman" w:hAnsi="Times New Roman" w:cs="Times New Roman"/>
              </w:rPr>
              <w:t xml:space="preserve"> mediante el sistema dígito</w:t>
            </w:r>
            <w:r w:rsidR="00927F91" w:rsidRPr="00846A70">
              <w:rPr>
                <w:rFonts w:ascii="Times New Roman" w:hAnsi="Times New Roman" w:cs="Times New Roman"/>
              </w:rPr>
              <w:t xml:space="preserve"> radial </w:t>
            </w:r>
            <w:r w:rsidR="005B760F" w:rsidRPr="00846A70">
              <w:rPr>
                <w:rFonts w:ascii="Times New Roman" w:hAnsi="Times New Roman" w:cs="Times New Roman"/>
              </w:rPr>
              <w:t xml:space="preserve">su identidad”, y que “debido a que continuaba sumamente nervioso, se solicitó </w:t>
            </w:r>
            <w:r w:rsidR="00927F91" w:rsidRPr="00846A70">
              <w:rPr>
                <w:rFonts w:ascii="Times New Roman" w:hAnsi="Times New Roman" w:cs="Times New Roman"/>
              </w:rPr>
              <w:t>la cooperación de los testigos</w:t>
            </w:r>
            <w:r w:rsidR="005B760F" w:rsidRPr="00846A70">
              <w:rPr>
                <w:rFonts w:ascii="Times New Roman" w:hAnsi="Times New Roman" w:cs="Times New Roman"/>
              </w:rPr>
              <w:t>, junto con los cuales se procedió a examinar los efectos personales de dicha persona, hallándose en el interior de un diario Clarín de fe</w:t>
            </w:r>
            <w:r w:rsidR="00927F91" w:rsidRPr="00846A70">
              <w:rPr>
                <w:rFonts w:ascii="Times New Roman" w:hAnsi="Times New Roman" w:cs="Times New Roman"/>
              </w:rPr>
              <w:t>cha 15/01/97, el cual se encontraba</w:t>
            </w:r>
            <w:r w:rsidR="005B760F" w:rsidRPr="00846A70">
              <w:rPr>
                <w:rFonts w:ascii="Times New Roman" w:hAnsi="Times New Roman" w:cs="Times New Roman"/>
              </w:rPr>
              <w:t xml:space="preserve"> doblado en forma de libro, una bolsa de nylon transparente la cual contenía en su interior una sustancia pulvurulenta [sic] de color blanca similar al clorhidrato de cocaína</w:t>
            </w:r>
            <w:r w:rsidR="00927F91" w:rsidRPr="00846A70">
              <w:rPr>
                <w:rFonts w:ascii="Times New Roman" w:hAnsi="Times New Roman" w:cs="Times New Roman"/>
              </w:rPr>
              <w:t>.</w:t>
            </w:r>
            <w:r w:rsidR="005B760F" w:rsidRPr="00846A70">
              <w:rPr>
                <w:rFonts w:ascii="Times New Roman" w:hAnsi="Times New Roman" w:cs="Times New Roman"/>
              </w:rPr>
              <w:t>”</w:t>
            </w:r>
          </w:p>
          <w:p w:rsidR="00131307" w:rsidRPr="00846A70" w:rsidRDefault="00131307" w:rsidP="00846A70">
            <w:pPr>
              <w:rPr>
                <w:rFonts w:ascii="Times New Roman" w:hAnsi="Times New Roman" w:cs="Times New Roman"/>
              </w:rPr>
            </w:pPr>
            <w:r w:rsidRPr="00846A70">
              <w:rPr>
                <w:rFonts w:ascii="Times New Roman" w:hAnsi="Times New Roman" w:cs="Times New Roman"/>
                <w:i/>
              </w:rPr>
              <w:t>Acta policial</w:t>
            </w:r>
            <w:r w:rsidRPr="00846A70">
              <w:rPr>
                <w:rFonts w:ascii="Times New Roman" w:hAnsi="Times New Roman" w:cs="Times New Roman"/>
              </w:rPr>
              <w:t xml:space="preserve">: “detención de una persona del sexo </w:t>
            </w:r>
            <w:r w:rsidRPr="00846A70">
              <w:rPr>
                <w:rFonts w:ascii="Times New Roman" w:hAnsi="Times New Roman" w:cs="Times New Roman"/>
              </w:rPr>
              <w:lastRenderedPageBreak/>
              <w:t>masculino la cual viste zapatos negros, pantalón jean azul, camisa a cuadros” y del “secuestro de un (1) diario Clarín de fecha 15 de enero de 1998 el cual contiene en su interior una bolsa de nylon transparente la cual se observa dentro del mismo una sustancia pulvurulenta [sic] de color blanca similar al clorhidrato de cocaína, diario que se encontraba en el asiento del móvil policial número 9756 […]”</w:t>
            </w:r>
          </w:p>
          <w:p w:rsidR="0094478E" w:rsidRPr="00846A70" w:rsidRDefault="0094478E" w:rsidP="00846A70">
            <w:pPr>
              <w:rPr>
                <w:rFonts w:ascii="Times New Roman" w:hAnsi="Times New Roman" w:cs="Times New Roman"/>
              </w:rPr>
            </w:pPr>
            <w:r w:rsidRPr="00846A70">
              <w:rPr>
                <w:rFonts w:ascii="Times New Roman" w:hAnsi="Times New Roman" w:cs="Times New Roman"/>
                <w:b/>
              </w:rPr>
              <w:t>Durante el juicio</w:t>
            </w:r>
            <w:r w:rsidRPr="00846A70">
              <w:rPr>
                <w:rFonts w:ascii="Times New Roman" w:hAnsi="Times New Roman" w:cs="Times New Roman"/>
              </w:rPr>
              <w:t xml:space="preserve">: </w:t>
            </w:r>
          </w:p>
          <w:p w:rsidR="0094478E" w:rsidRPr="00846A70" w:rsidRDefault="0094478E" w:rsidP="00846A70">
            <w:pPr>
              <w:rPr>
                <w:rFonts w:ascii="Times New Roman" w:hAnsi="Times New Roman" w:cs="Times New Roman"/>
              </w:rPr>
            </w:pPr>
            <w:r w:rsidRPr="00846A70">
              <w:rPr>
                <w:rFonts w:ascii="Times New Roman" w:hAnsi="Times New Roman" w:cs="Times New Roman"/>
              </w:rPr>
              <w:t xml:space="preserve">El señor Tumbeiro iba caminando por la calle frente a la villa y cuando vio el patrullero empezó a mirar como si buscara una dirección. Como no estaba vestido como la gente de la zona, decidieron pararlo y vieron que no era de allí. Además, afirmó que les había parecido sospechoso que buscara una dirección en esa zona pues las calles no tienen numeración, por la villa, que todo está numerado por manzanas y número de casa. En consecuencia, lo hicieron sentar en el patrullero y se puso muy nervioso. Dijo el agente que el señor Tumbeiro les contó que estaba buscando una casa de reparación de audio que había sacado de un aviso, entonces le preguntaron dónde estaba el aviso en el diario y fue en ese </w:t>
            </w:r>
            <w:r w:rsidRPr="00846A70">
              <w:rPr>
                <w:rFonts w:ascii="Times New Roman" w:hAnsi="Times New Roman" w:cs="Times New Roman"/>
              </w:rPr>
              <w:lastRenderedPageBreak/>
              <w:t>momento que vieron la droga. Relató que en la zona no había ninguna casa de audio, pero sí una gomería.  También indicó que los testigos no presenciaron la detención del sujeto ni el hallazgo de la droga, y que “en esa zona la gente que camina como buscando direcciones  generalmente no es del barrio entonces les piden que justifiquen la permanencia”.</w:t>
            </w:r>
          </w:p>
        </w:tc>
        <w:tc>
          <w:tcPr>
            <w:tcW w:w="2517" w:type="dxa"/>
          </w:tcPr>
          <w:p w:rsidR="0094478E" w:rsidRPr="00846A70" w:rsidRDefault="0094478E" w:rsidP="00846A70">
            <w:pPr>
              <w:rPr>
                <w:rFonts w:ascii="Times New Roman" w:hAnsi="Times New Roman" w:cs="Times New Roman"/>
                <w:b/>
              </w:rPr>
            </w:pPr>
            <w:r w:rsidRPr="00846A70">
              <w:rPr>
                <w:rFonts w:ascii="Times New Roman" w:hAnsi="Times New Roman" w:cs="Times New Roman"/>
                <w:b/>
              </w:rPr>
              <w:lastRenderedPageBreak/>
              <w:t xml:space="preserve">Acta policial: </w:t>
            </w:r>
          </w:p>
          <w:p w:rsidR="00131307" w:rsidRPr="00846A70" w:rsidRDefault="00131307" w:rsidP="00846A70">
            <w:pPr>
              <w:rPr>
                <w:rFonts w:ascii="Times New Roman" w:hAnsi="Times New Roman" w:cs="Times New Roman"/>
              </w:rPr>
            </w:pPr>
            <w:r w:rsidRPr="00846A70">
              <w:rPr>
                <w:rFonts w:ascii="Times New Roman" w:hAnsi="Times New Roman" w:cs="Times New Roman"/>
                <w:i/>
              </w:rPr>
              <w:t>Testigo 1:</w:t>
            </w:r>
            <w:r w:rsidRPr="00846A70">
              <w:rPr>
                <w:rFonts w:ascii="Times New Roman" w:hAnsi="Times New Roman" w:cs="Times New Roman"/>
              </w:rPr>
              <w:t xml:space="preserve"> al momento de ser convocado, el señor </w:t>
            </w:r>
            <w:r w:rsidRPr="00846A70">
              <w:rPr>
                <w:rFonts w:ascii="Times New Roman" w:hAnsi="Times New Roman" w:cs="Times New Roman"/>
              </w:rPr>
              <w:lastRenderedPageBreak/>
              <w:t>Tumbeiro “se encontraba sentado en el asiento trasero de un móvil policial estacionado en el lugar” y que “el personal policial procedió a revisar el móvil, observando que sobre el asiento trasero al lado del detenido se encontraba un diario doblado en la forma de libro, y entre sus páginas se encontraba una bolsa de nylon transparente, conteniendo en su interior una sustancia en polvo de color blanca similar a la cocaína”.</w:t>
            </w:r>
          </w:p>
          <w:p w:rsidR="00131307" w:rsidRPr="00846A70" w:rsidRDefault="00131307" w:rsidP="00846A70">
            <w:pPr>
              <w:rPr>
                <w:rFonts w:ascii="Times New Roman" w:hAnsi="Times New Roman" w:cs="Times New Roman"/>
              </w:rPr>
            </w:pPr>
            <w:r w:rsidRPr="00846A70">
              <w:rPr>
                <w:rFonts w:ascii="Times New Roman" w:hAnsi="Times New Roman" w:cs="Times New Roman"/>
                <w:i/>
              </w:rPr>
              <w:t>Testigo 2:</w:t>
            </w:r>
            <w:r w:rsidRPr="00846A70">
              <w:rPr>
                <w:rFonts w:ascii="Times New Roman" w:hAnsi="Times New Roman" w:cs="Times New Roman"/>
              </w:rPr>
              <w:t xml:space="preserve"> declaración con palabras casi idénticas y en el mismo sentido.</w:t>
            </w:r>
          </w:p>
          <w:p w:rsidR="00131307" w:rsidRPr="00846A70" w:rsidRDefault="00131307" w:rsidP="00846A70">
            <w:pPr>
              <w:rPr>
                <w:rFonts w:ascii="Times New Roman" w:hAnsi="Times New Roman" w:cs="Times New Roman"/>
              </w:rPr>
            </w:pPr>
            <w:r w:rsidRPr="00846A70">
              <w:rPr>
                <w:rFonts w:ascii="Times New Roman" w:hAnsi="Times New Roman" w:cs="Times New Roman"/>
              </w:rPr>
              <w:t xml:space="preserve">*Hubo variaciones en las declaraciones durante el proceso judicial tanto en lo referido a la forma de </w:t>
            </w:r>
            <w:r w:rsidR="00043AC5" w:rsidRPr="00846A70">
              <w:rPr>
                <w:rFonts w:ascii="Times New Roman" w:hAnsi="Times New Roman" w:cs="Times New Roman"/>
              </w:rPr>
              <w:t>sustanciación en el acta judicial respecto a</w:t>
            </w:r>
            <w:r w:rsidRPr="00846A70">
              <w:rPr>
                <w:rFonts w:ascii="Times New Roman" w:hAnsi="Times New Roman" w:cs="Times New Roman"/>
              </w:rPr>
              <w:t xml:space="preserve">l hallazgo del material estupefaciente y el tipo de </w:t>
            </w:r>
            <w:r w:rsidR="00043AC5" w:rsidRPr="00846A70">
              <w:rPr>
                <w:rFonts w:ascii="Times New Roman" w:hAnsi="Times New Roman" w:cs="Times New Roman"/>
              </w:rPr>
              <w:t>participación de</w:t>
            </w:r>
            <w:r w:rsidRPr="00846A70">
              <w:rPr>
                <w:rFonts w:ascii="Times New Roman" w:hAnsi="Times New Roman" w:cs="Times New Roman"/>
              </w:rPr>
              <w:t xml:space="preserve"> los testigos.</w:t>
            </w:r>
          </w:p>
          <w:p w:rsidR="00043AC5" w:rsidRPr="00846A70" w:rsidRDefault="00043AC5" w:rsidP="00846A70">
            <w:pPr>
              <w:rPr>
                <w:rFonts w:ascii="Times New Roman" w:hAnsi="Times New Roman" w:cs="Times New Roman"/>
              </w:rPr>
            </w:pPr>
            <w:r w:rsidRPr="00846A70">
              <w:rPr>
                <w:rFonts w:ascii="Times New Roman" w:hAnsi="Times New Roman" w:cs="Times New Roman"/>
                <w:b/>
              </w:rPr>
              <w:t>Durante el juicio</w:t>
            </w:r>
            <w:r w:rsidRPr="00846A70">
              <w:rPr>
                <w:rFonts w:ascii="Times New Roman" w:hAnsi="Times New Roman" w:cs="Times New Roman"/>
              </w:rPr>
              <w:t xml:space="preserve">: </w:t>
            </w:r>
          </w:p>
          <w:p w:rsidR="00043AC5" w:rsidRPr="00846A70" w:rsidRDefault="00043AC5" w:rsidP="00846A70">
            <w:pPr>
              <w:rPr>
                <w:rFonts w:ascii="Times New Roman" w:hAnsi="Times New Roman" w:cs="Times New Roman"/>
              </w:rPr>
            </w:pPr>
            <w:r w:rsidRPr="00846A70">
              <w:rPr>
                <w:rFonts w:ascii="Times New Roman" w:hAnsi="Times New Roman" w:cs="Times New Roman"/>
                <w:i/>
              </w:rPr>
              <w:t>Testigo 1:</w:t>
            </w:r>
            <w:r w:rsidRPr="00846A70">
              <w:rPr>
                <w:rFonts w:ascii="Times New Roman" w:hAnsi="Times New Roman" w:cs="Times New Roman"/>
              </w:rPr>
              <w:t xml:space="preserve"> afirmó que se acercó al auto convocado por los oficiales porque le dijeron que “habían encontrado un sujeto con droga ilegal” y que “le mostraron la droga que estaba envuelta adentro de un diario, refiriéndole que se lo habían encontrado al detenido”. Señaló que el diario lo </w:t>
            </w:r>
            <w:r w:rsidRPr="00846A70">
              <w:rPr>
                <w:rFonts w:ascii="Times New Roman" w:hAnsi="Times New Roman" w:cs="Times New Roman"/>
              </w:rPr>
              <w:lastRenderedPageBreak/>
              <w:t>tenía uno de los policías y que lo había sacado de adentro del vehículo, donde estaba sentado el señor Tumbeiro.</w:t>
            </w:r>
          </w:p>
          <w:p w:rsidR="00043AC5" w:rsidRPr="00846A70" w:rsidRDefault="00043AC5" w:rsidP="00846A70">
            <w:pPr>
              <w:rPr>
                <w:rFonts w:ascii="Times New Roman" w:hAnsi="Times New Roman" w:cs="Times New Roman"/>
              </w:rPr>
            </w:pPr>
            <w:r w:rsidRPr="00846A70">
              <w:rPr>
                <w:rFonts w:ascii="Times New Roman" w:hAnsi="Times New Roman" w:cs="Times New Roman"/>
                <w:i/>
              </w:rPr>
              <w:t>Testigo 2:</w:t>
            </w:r>
            <w:r w:rsidRPr="00846A70">
              <w:rPr>
                <w:rFonts w:ascii="Times New Roman" w:hAnsi="Times New Roman" w:cs="Times New Roman"/>
              </w:rPr>
              <w:t xml:space="preserve"> indicó que los policías le dijeron que la bolsita estaba dentro del diario y que recién se la mostraron en la Comisaría.</w:t>
            </w:r>
          </w:p>
        </w:tc>
        <w:tc>
          <w:tcPr>
            <w:tcW w:w="2410" w:type="dxa"/>
          </w:tcPr>
          <w:p w:rsidR="0094478E" w:rsidRPr="00846A70" w:rsidRDefault="0094478E" w:rsidP="00846A70">
            <w:pPr>
              <w:rPr>
                <w:rFonts w:ascii="Times New Roman" w:hAnsi="Times New Roman" w:cs="Times New Roman"/>
                <w:b/>
              </w:rPr>
            </w:pPr>
            <w:r w:rsidRPr="00846A70">
              <w:rPr>
                <w:rFonts w:ascii="Times New Roman" w:hAnsi="Times New Roman" w:cs="Times New Roman"/>
                <w:b/>
              </w:rPr>
              <w:lastRenderedPageBreak/>
              <w:t>Durante el Juicio:</w:t>
            </w:r>
          </w:p>
          <w:p w:rsidR="00F96E75" w:rsidRPr="00846A70" w:rsidRDefault="00EA3F95" w:rsidP="00846A70">
            <w:pPr>
              <w:rPr>
                <w:rFonts w:ascii="Times New Roman" w:hAnsi="Times New Roman" w:cs="Times New Roman"/>
              </w:rPr>
            </w:pPr>
            <w:r w:rsidRPr="00846A70">
              <w:rPr>
                <w:rFonts w:ascii="Times New Roman" w:hAnsi="Times New Roman" w:cs="Times New Roman"/>
              </w:rPr>
              <w:t xml:space="preserve">En su declaración indagatoria del día </w:t>
            </w:r>
            <w:r w:rsidRPr="00846A70">
              <w:rPr>
                <w:rFonts w:ascii="Times New Roman" w:hAnsi="Times New Roman" w:cs="Times New Roman"/>
              </w:rPr>
              <w:lastRenderedPageBreak/>
              <w:t>siguiente, 16 de enero de 1998, el señor Tumbeiro hizo uso de su derecho a negarse a declarar y se negó también a que le exhiban los efectos secuestrados. Asimismo, solicitó su excarcelación bajo caución. En la misma fecha se levantó la inc</w:t>
            </w:r>
            <w:r w:rsidR="00D660E9" w:rsidRPr="00846A70">
              <w:rPr>
                <w:rFonts w:ascii="Times New Roman" w:hAnsi="Times New Roman" w:cs="Times New Roman"/>
              </w:rPr>
              <w:t xml:space="preserve">omunicación y se concedió la </w:t>
            </w:r>
            <w:r w:rsidRPr="00846A70">
              <w:rPr>
                <w:rFonts w:ascii="Times New Roman" w:hAnsi="Times New Roman" w:cs="Times New Roman"/>
              </w:rPr>
              <w:t>excarcelación que se hizo efectiva en el día.</w:t>
            </w:r>
          </w:p>
        </w:tc>
      </w:tr>
    </w:tbl>
    <w:p w:rsidR="002A36AB" w:rsidRPr="00846A70" w:rsidRDefault="002A36AB" w:rsidP="00846A70">
      <w:pPr>
        <w:jc w:val="both"/>
        <w:rPr>
          <w:rFonts w:ascii="Times New Roman" w:hAnsi="Times New Roman" w:cs="Times New Roman"/>
        </w:rPr>
      </w:pPr>
    </w:p>
    <w:p w:rsidR="00842B7D" w:rsidRPr="00846A70" w:rsidRDefault="00D660E9" w:rsidP="00846A70">
      <w:pPr>
        <w:jc w:val="both"/>
        <w:rPr>
          <w:rFonts w:ascii="Times New Roman" w:hAnsi="Times New Roman" w:cs="Times New Roman"/>
        </w:rPr>
      </w:pPr>
      <w:r w:rsidRPr="00846A70">
        <w:rPr>
          <w:rFonts w:ascii="Times New Roman" w:hAnsi="Times New Roman" w:cs="Times New Roman"/>
        </w:rPr>
        <w:t>El 23 de enero de 1998 se decretó el procesamiento sin prisión preventiva del señor Tumbeiro por el delito de tenencia simple de estupefacientes, previsto en el artículo 14, primera parte, de la Ley N° 23.737</w:t>
      </w:r>
      <w:r w:rsidR="005B2965" w:rsidRPr="00846A70">
        <w:rPr>
          <w:rFonts w:ascii="Times New Roman" w:hAnsi="Times New Roman" w:cs="Times New Roman"/>
        </w:rPr>
        <w:t>, el cual contempla que “</w:t>
      </w:r>
      <w:r w:rsidR="005B2965" w:rsidRPr="00846A70">
        <w:rPr>
          <w:rFonts w:ascii="Times New Roman" w:hAnsi="Times New Roman" w:cs="Times New Roman"/>
          <w:u w:val="single"/>
        </w:rPr>
        <w:t>será reprimido con prisión de uno a seis años y multa de ciento doce mil quinientos a dos millones doscientos cincuenta mil australes el que tuviere en su poder estupefacientes.”</w:t>
      </w:r>
      <w:r w:rsidR="00F41067" w:rsidRPr="00846A70">
        <w:rPr>
          <w:rFonts w:ascii="Times New Roman" w:hAnsi="Times New Roman" w:cs="Times New Roman"/>
          <w:u w:val="single"/>
        </w:rPr>
        <w:t xml:space="preserve"> </w:t>
      </w:r>
      <w:r w:rsidR="00F41067" w:rsidRPr="00846A70">
        <w:rPr>
          <w:rFonts w:ascii="Times New Roman" w:hAnsi="Times New Roman" w:cs="Times New Roman"/>
        </w:rPr>
        <w:t>El día 26 de febrero de 1998, el Fiscal solicitó la elevación a juicio señalando la actitud sospechosa frente a la presencia policial y el supuesto estado de nerviosismo del señor Tumbeiro.</w:t>
      </w:r>
    </w:p>
    <w:p w:rsidR="00992BCA" w:rsidRPr="00846A70" w:rsidRDefault="002A36AB" w:rsidP="00846A70">
      <w:pPr>
        <w:jc w:val="both"/>
        <w:rPr>
          <w:rFonts w:ascii="Times New Roman" w:hAnsi="Times New Roman" w:cs="Times New Roman"/>
        </w:rPr>
      </w:pPr>
      <w:r w:rsidRPr="00846A70">
        <w:rPr>
          <w:rFonts w:ascii="Times New Roman" w:hAnsi="Times New Roman" w:cs="Times New Roman"/>
        </w:rPr>
        <w:t>Frente a disparidad de las distintas versiones de los policías y los testigos d</w:t>
      </w:r>
      <w:r w:rsidR="00992BCA" w:rsidRPr="00846A70">
        <w:rPr>
          <w:rFonts w:ascii="Times New Roman" w:hAnsi="Times New Roman" w:cs="Times New Roman"/>
        </w:rPr>
        <w:t>e procedimiento, la defensa incorporó dentro de sus alegatos</w:t>
      </w:r>
      <w:r w:rsidRPr="00846A70">
        <w:rPr>
          <w:rFonts w:ascii="Times New Roman" w:hAnsi="Times New Roman" w:cs="Times New Roman"/>
        </w:rPr>
        <w:t xml:space="preserve"> </w:t>
      </w:r>
      <w:r w:rsidR="00992BCA" w:rsidRPr="00846A70">
        <w:rPr>
          <w:rFonts w:ascii="Times New Roman" w:hAnsi="Times New Roman" w:cs="Times New Roman"/>
        </w:rPr>
        <w:t xml:space="preserve">que los </w:t>
      </w:r>
      <w:r w:rsidRPr="00846A70">
        <w:rPr>
          <w:rFonts w:ascii="Times New Roman" w:hAnsi="Times New Roman" w:cs="Times New Roman"/>
        </w:rPr>
        <w:t>testigos llegaron tarde al momento de descubrirse la b</w:t>
      </w:r>
      <w:r w:rsidR="00A52B55" w:rsidRPr="00846A70">
        <w:rPr>
          <w:rFonts w:ascii="Times New Roman" w:hAnsi="Times New Roman" w:cs="Times New Roman"/>
        </w:rPr>
        <w:t>olsa con los estupefacientes</w:t>
      </w:r>
      <w:r w:rsidRPr="00846A70">
        <w:rPr>
          <w:rFonts w:ascii="Times New Roman" w:hAnsi="Times New Roman" w:cs="Times New Roman"/>
        </w:rPr>
        <w:t>,</w:t>
      </w:r>
      <w:r w:rsidR="00A52B55" w:rsidRPr="00846A70">
        <w:rPr>
          <w:rFonts w:ascii="Times New Roman" w:hAnsi="Times New Roman" w:cs="Times New Roman"/>
        </w:rPr>
        <w:t xml:space="preserve"> es decir,</w:t>
      </w:r>
      <w:r w:rsidRPr="00846A70">
        <w:rPr>
          <w:rFonts w:ascii="Times New Roman" w:hAnsi="Times New Roman" w:cs="Times New Roman"/>
        </w:rPr>
        <w:t xml:space="preserve"> fue requisado sin su presencia ni orden judicial. </w:t>
      </w:r>
      <w:r w:rsidR="00992BCA" w:rsidRPr="00846A70">
        <w:rPr>
          <w:rFonts w:ascii="Times New Roman" w:hAnsi="Times New Roman" w:cs="Times New Roman"/>
        </w:rPr>
        <w:t>Asimismo, señaló que en el presente caso se observa</w:t>
      </w:r>
      <w:r w:rsidRPr="00846A70">
        <w:rPr>
          <w:rFonts w:ascii="Times New Roman" w:hAnsi="Times New Roman" w:cs="Times New Roman"/>
        </w:rPr>
        <w:t xml:space="preserve"> que las personas que se visten de</w:t>
      </w:r>
      <w:r w:rsidR="00992BCA" w:rsidRPr="00846A70">
        <w:rPr>
          <w:rFonts w:ascii="Times New Roman" w:hAnsi="Times New Roman" w:cs="Times New Roman"/>
        </w:rPr>
        <w:t xml:space="preserve"> determinada manera y muestran nerviosismo</w:t>
      </w:r>
      <w:r w:rsidRPr="00846A70">
        <w:rPr>
          <w:rFonts w:ascii="Times New Roman" w:hAnsi="Times New Roman" w:cs="Times New Roman"/>
        </w:rPr>
        <w:t xml:space="preserve"> se encuentran sometidas al control policial.</w:t>
      </w:r>
      <w:r w:rsidR="00992BCA" w:rsidRPr="00846A70">
        <w:rPr>
          <w:rFonts w:ascii="Times New Roman" w:hAnsi="Times New Roman" w:cs="Times New Roman"/>
        </w:rPr>
        <w:t xml:space="preserve"> </w:t>
      </w:r>
      <w:r w:rsidR="00A52B55" w:rsidRPr="00846A70">
        <w:rPr>
          <w:rFonts w:ascii="Times New Roman" w:hAnsi="Times New Roman" w:cs="Times New Roman"/>
        </w:rPr>
        <w:t>Además, afirmó</w:t>
      </w:r>
      <w:r w:rsidR="00992BCA" w:rsidRPr="00846A70">
        <w:rPr>
          <w:rFonts w:ascii="Times New Roman" w:hAnsi="Times New Roman" w:cs="Times New Roman"/>
        </w:rPr>
        <w:t xml:space="preserve"> que las</w:t>
      </w:r>
      <w:r w:rsidRPr="00846A70">
        <w:rPr>
          <w:rFonts w:ascii="Times New Roman" w:hAnsi="Times New Roman" w:cs="Times New Roman"/>
        </w:rPr>
        <w:t xml:space="preserve"> r</w:t>
      </w:r>
      <w:r w:rsidR="00992BCA" w:rsidRPr="00846A70">
        <w:rPr>
          <w:rFonts w:ascii="Times New Roman" w:hAnsi="Times New Roman" w:cs="Times New Roman"/>
        </w:rPr>
        <w:t>equisas practicadas eran nulas y que su defendido</w:t>
      </w:r>
      <w:r w:rsidRPr="00846A70">
        <w:rPr>
          <w:rFonts w:ascii="Times New Roman" w:hAnsi="Times New Roman" w:cs="Times New Roman"/>
        </w:rPr>
        <w:t xml:space="preserve"> desc</w:t>
      </w:r>
      <w:r w:rsidR="00992BCA" w:rsidRPr="00846A70">
        <w:rPr>
          <w:rFonts w:ascii="Times New Roman" w:hAnsi="Times New Roman" w:cs="Times New Roman"/>
        </w:rPr>
        <w:t xml:space="preserve">onoció la tenencia de la droga. </w:t>
      </w:r>
    </w:p>
    <w:p w:rsidR="00992BCA" w:rsidRPr="00846A70" w:rsidRDefault="00992BCA" w:rsidP="00846A70">
      <w:pPr>
        <w:jc w:val="both"/>
        <w:rPr>
          <w:rFonts w:ascii="Times New Roman" w:hAnsi="Times New Roman" w:cs="Times New Roman"/>
          <w:u w:val="single"/>
        </w:rPr>
      </w:pPr>
      <w:r w:rsidRPr="00846A70">
        <w:rPr>
          <w:rFonts w:ascii="Times New Roman" w:hAnsi="Times New Roman" w:cs="Times New Roman"/>
        </w:rPr>
        <w:t xml:space="preserve">El 26 de agosto de 1998, el Tribunal Oral </w:t>
      </w:r>
      <w:r w:rsidR="00A52B55" w:rsidRPr="00846A70">
        <w:rPr>
          <w:rFonts w:ascii="Times New Roman" w:hAnsi="Times New Roman" w:cs="Times New Roman"/>
        </w:rPr>
        <w:t>en lo Criminal Federal N° 1 de la</w:t>
      </w:r>
      <w:r w:rsidRPr="00846A70">
        <w:rPr>
          <w:rFonts w:ascii="Times New Roman" w:hAnsi="Times New Roman" w:cs="Times New Roman"/>
        </w:rPr>
        <w:t xml:space="preserve"> Capital Federal resolvió por mayoría condenar al </w:t>
      </w:r>
      <w:r w:rsidR="00A52B55" w:rsidRPr="00846A70">
        <w:rPr>
          <w:rFonts w:ascii="Times New Roman" w:hAnsi="Times New Roman" w:cs="Times New Roman"/>
        </w:rPr>
        <w:t>señor Tumbeiro a la pena de un año</w:t>
      </w:r>
      <w:r w:rsidRPr="00846A70">
        <w:rPr>
          <w:rFonts w:ascii="Times New Roman" w:hAnsi="Times New Roman" w:cs="Times New Roman"/>
        </w:rPr>
        <w:t xml:space="preserve"> y seis meses de prisión en suspenso, y a una m</w:t>
      </w:r>
      <w:r w:rsidR="00A52B55" w:rsidRPr="00846A70">
        <w:rPr>
          <w:rFonts w:ascii="Times New Roman" w:hAnsi="Times New Roman" w:cs="Times New Roman"/>
        </w:rPr>
        <w:t xml:space="preserve">ulta de ciento cincuenta pesos </w:t>
      </w:r>
      <w:r w:rsidRPr="00846A70">
        <w:rPr>
          <w:rFonts w:ascii="Times New Roman" w:hAnsi="Times New Roman" w:cs="Times New Roman"/>
        </w:rPr>
        <w:t>($150), accesorias legales y costas, por considerarlo autor</w:t>
      </w:r>
      <w:r w:rsidR="00A52B55" w:rsidRPr="00846A70">
        <w:rPr>
          <w:rFonts w:ascii="Times New Roman" w:hAnsi="Times New Roman" w:cs="Times New Roman"/>
        </w:rPr>
        <w:t xml:space="preserve"> del delito de tenencia simple </w:t>
      </w:r>
      <w:r w:rsidRPr="00846A70">
        <w:rPr>
          <w:rFonts w:ascii="Times New Roman" w:hAnsi="Times New Roman" w:cs="Times New Roman"/>
        </w:rPr>
        <w:t>de estupefacientes. Allí también se dispusieron disti</w:t>
      </w:r>
      <w:r w:rsidR="00A52B55" w:rsidRPr="00846A70">
        <w:rPr>
          <w:rFonts w:ascii="Times New Roman" w:hAnsi="Times New Roman" w:cs="Times New Roman"/>
        </w:rPr>
        <w:t>ntas reglas de conducta por un plazo</w:t>
      </w:r>
      <w:r w:rsidRPr="00846A70">
        <w:rPr>
          <w:rFonts w:ascii="Times New Roman" w:hAnsi="Times New Roman" w:cs="Times New Roman"/>
        </w:rPr>
        <w:t xml:space="preserve"> de año y medio, entre las que se incluyeron la real</w:t>
      </w:r>
      <w:r w:rsidR="00A52B55" w:rsidRPr="00846A70">
        <w:rPr>
          <w:rFonts w:ascii="Times New Roman" w:hAnsi="Times New Roman" w:cs="Times New Roman"/>
        </w:rPr>
        <w:t xml:space="preserve">ización de tareas comunitarias. Dentro de los fundamentos de la sentencia se consideró que la intervención policial fue </w:t>
      </w:r>
      <w:r w:rsidRPr="00846A70">
        <w:rPr>
          <w:rFonts w:ascii="Times New Roman" w:hAnsi="Times New Roman" w:cs="Times New Roman"/>
        </w:rPr>
        <w:t>motivada</w:t>
      </w:r>
      <w:r w:rsidRPr="00723D25">
        <w:rPr>
          <w:rFonts w:ascii="Times New Roman" w:hAnsi="Times New Roman" w:cs="Times New Roman"/>
        </w:rPr>
        <w:t xml:space="preserve"> </w:t>
      </w:r>
      <w:r w:rsidRPr="00846A70">
        <w:rPr>
          <w:rFonts w:ascii="Times New Roman" w:hAnsi="Times New Roman" w:cs="Times New Roman"/>
          <w:u w:val="single"/>
        </w:rPr>
        <w:t>“por un conjunto de actitudes tales como el ne</w:t>
      </w:r>
      <w:r w:rsidR="00A52B55" w:rsidRPr="00846A70">
        <w:rPr>
          <w:rFonts w:ascii="Times New Roman" w:hAnsi="Times New Roman" w:cs="Times New Roman"/>
          <w:u w:val="single"/>
        </w:rPr>
        <w:t xml:space="preserve">rviosismo puesto de manifiesto  </w:t>
      </w:r>
      <w:r w:rsidRPr="00846A70">
        <w:rPr>
          <w:rFonts w:ascii="Times New Roman" w:hAnsi="Times New Roman" w:cs="Times New Roman"/>
          <w:u w:val="single"/>
        </w:rPr>
        <w:t xml:space="preserve">por Tumbeiro ante la presencia del móvil policial y el </w:t>
      </w:r>
      <w:r w:rsidR="00A52B55" w:rsidRPr="00846A70">
        <w:rPr>
          <w:rFonts w:ascii="Times New Roman" w:hAnsi="Times New Roman" w:cs="Times New Roman"/>
          <w:u w:val="single"/>
        </w:rPr>
        <w:t xml:space="preserve">hecho de que se trataba de una  </w:t>
      </w:r>
      <w:r w:rsidRPr="00846A70">
        <w:rPr>
          <w:rFonts w:ascii="Times New Roman" w:hAnsi="Times New Roman" w:cs="Times New Roman"/>
          <w:u w:val="single"/>
        </w:rPr>
        <w:t>persona que por su comportamiento y vestimenta no pare</w:t>
      </w:r>
      <w:r w:rsidR="00A52B55" w:rsidRPr="00846A70">
        <w:rPr>
          <w:rFonts w:ascii="Times New Roman" w:hAnsi="Times New Roman" w:cs="Times New Roman"/>
          <w:u w:val="single"/>
        </w:rPr>
        <w:t xml:space="preserve">cía de la zona, el cual al ser  </w:t>
      </w:r>
      <w:r w:rsidRPr="00846A70">
        <w:rPr>
          <w:rFonts w:ascii="Times New Roman" w:hAnsi="Times New Roman" w:cs="Times New Roman"/>
          <w:u w:val="single"/>
        </w:rPr>
        <w:t>consultado por la razón de su presencia en el lugar, hi</w:t>
      </w:r>
      <w:r w:rsidR="00A52B55" w:rsidRPr="00846A70">
        <w:rPr>
          <w:rFonts w:ascii="Times New Roman" w:hAnsi="Times New Roman" w:cs="Times New Roman"/>
          <w:u w:val="single"/>
        </w:rPr>
        <w:t xml:space="preserve">zo referencia a la búsqueda de  </w:t>
      </w:r>
      <w:r w:rsidRPr="00846A70">
        <w:rPr>
          <w:rFonts w:ascii="Times New Roman" w:hAnsi="Times New Roman" w:cs="Times New Roman"/>
          <w:u w:val="single"/>
        </w:rPr>
        <w:t>un material electrónico de repuesto, totalmente extra</w:t>
      </w:r>
      <w:r w:rsidR="00A52B55" w:rsidRPr="00846A70">
        <w:rPr>
          <w:rFonts w:ascii="Times New Roman" w:hAnsi="Times New Roman" w:cs="Times New Roman"/>
          <w:u w:val="single"/>
        </w:rPr>
        <w:t xml:space="preserve">ño a lo que podía obtenerse en </w:t>
      </w:r>
      <w:r w:rsidRPr="00846A70">
        <w:rPr>
          <w:rFonts w:ascii="Times New Roman" w:hAnsi="Times New Roman" w:cs="Times New Roman"/>
          <w:u w:val="single"/>
        </w:rPr>
        <w:t>los comercios aledaños pues se trataba de una zona d</w:t>
      </w:r>
      <w:r w:rsidR="00723D25">
        <w:rPr>
          <w:rFonts w:ascii="Times New Roman" w:hAnsi="Times New Roman" w:cs="Times New Roman"/>
          <w:u w:val="single"/>
        </w:rPr>
        <w:t>e gente humilde, en su mayoría</w:t>
      </w:r>
      <w:r w:rsidR="00A52B55" w:rsidRPr="00846A70">
        <w:rPr>
          <w:rFonts w:ascii="Times New Roman" w:hAnsi="Times New Roman" w:cs="Times New Roman"/>
          <w:u w:val="single"/>
        </w:rPr>
        <w:t xml:space="preserve"> </w:t>
      </w:r>
      <w:r w:rsidRPr="00846A70">
        <w:rPr>
          <w:rFonts w:ascii="Times New Roman" w:hAnsi="Times New Roman" w:cs="Times New Roman"/>
          <w:u w:val="single"/>
        </w:rPr>
        <w:t>habitantes de una vil</w:t>
      </w:r>
      <w:r w:rsidR="00A52B55" w:rsidRPr="00846A70">
        <w:rPr>
          <w:rFonts w:ascii="Times New Roman" w:hAnsi="Times New Roman" w:cs="Times New Roman"/>
          <w:u w:val="single"/>
        </w:rPr>
        <w:t>la en el bajo Flores”.</w:t>
      </w:r>
    </w:p>
    <w:p w:rsidR="00933945" w:rsidRPr="00846A70" w:rsidRDefault="00933945" w:rsidP="00846A70">
      <w:pPr>
        <w:jc w:val="both"/>
        <w:rPr>
          <w:rFonts w:ascii="Times New Roman" w:hAnsi="Times New Roman" w:cs="Times New Roman"/>
        </w:rPr>
      </w:pPr>
      <w:r w:rsidRPr="00846A70">
        <w:rPr>
          <w:rFonts w:ascii="Times New Roman" w:hAnsi="Times New Roman" w:cs="Times New Roman"/>
        </w:rPr>
        <w:lastRenderedPageBreak/>
        <w:t xml:space="preserve">Contra dicha decisión la defensa interpuso recurso de casación en el cual se argumentó que con base en la Ley N° 23.950 que regula la detención por averiguación de identidad, no podía ser utilizada para justificar detenciones que se sustentaran en meras apreciaciones subjetivas de los agentes de policía y que, tanto la forma de vestirse como las manifestaciones de nerviosismo de una persona, no podían ser indicios suficientes que justificaran su detención y requisa. Asimismo, señaló las contradicciones en las declaraciones de los policías con respecto a los testigos y lo constatado en el acta de detención, así como las discrepancias en la misma sentencia -al responder a las alegaciones sobre la nulidad de la detención y de la requisa- respecto de dónde y </w:t>
      </w:r>
      <w:r w:rsidR="00791F7E" w:rsidRPr="00846A70">
        <w:rPr>
          <w:rFonts w:ascii="Times New Roman" w:hAnsi="Times New Roman" w:cs="Times New Roman"/>
        </w:rPr>
        <w:t>en qué</w:t>
      </w:r>
      <w:r w:rsidRPr="00846A70">
        <w:rPr>
          <w:rFonts w:ascii="Times New Roman" w:hAnsi="Times New Roman" w:cs="Times New Roman"/>
        </w:rPr>
        <w:t xml:space="preserve"> momento los agentes revisaron el diario y encontraron la bolsa de nylon.</w:t>
      </w:r>
    </w:p>
    <w:p w:rsidR="00771AB8" w:rsidRPr="00846A70" w:rsidRDefault="001F6ED9" w:rsidP="00846A70">
      <w:pPr>
        <w:jc w:val="both"/>
        <w:rPr>
          <w:rFonts w:ascii="Times New Roman" w:hAnsi="Times New Roman" w:cs="Times New Roman"/>
        </w:rPr>
      </w:pPr>
      <w:r w:rsidRPr="00846A70">
        <w:rPr>
          <w:rFonts w:ascii="Times New Roman" w:hAnsi="Times New Roman" w:cs="Times New Roman"/>
        </w:rPr>
        <w:t>El recurso de casación fue concedido por el Tribunal Oral Federal en fecha 6 de octubre de 1998 y elevado a la Cámara Nacional de Casación Penal el día 14 del mismo mes.</w:t>
      </w:r>
      <w:r w:rsidR="00EE551E" w:rsidRPr="00846A70">
        <w:rPr>
          <w:rFonts w:ascii="Times New Roman" w:hAnsi="Times New Roman" w:cs="Times New Roman"/>
        </w:rPr>
        <w:t xml:space="preserve"> </w:t>
      </w:r>
      <w:r w:rsidR="00771AB8" w:rsidRPr="00846A70">
        <w:rPr>
          <w:rFonts w:ascii="Times New Roman" w:hAnsi="Times New Roman" w:cs="Times New Roman"/>
        </w:rPr>
        <w:t>En su dictamen, el Fiscal ante dicha instancia consideró que se trataba de un supuesto de mera disconformidad con</w:t>
      </w:r>
      <w:r w:rsidR="00723D25">
        <w:rPr>
          <w:rFonts w:ascii="Times New Roman" w:hAnsi="Times New Roman" w:cs="Times New Roman"/>
        </w:rPr>
        <w:t xml:space="preserve"> </w:t>
      </w:r>
      <w:r w:rsidR="00771AB8" w:rsidRPr="00846A70">
        <w:rPr>
          <w:rFonts w:ascii="Times New Roman" w:hAnsi="Times New Roman" w:cs="Times New Roman"/>
        </w:rPr>
        <w:t xml:space="preserve">lo resuelto y que tomando en consideración el precedente del caso </w:t>
      </w:r>
      <w:r w:rsidR="00771AB8" w:rsidRPr="00846A70">
        <w:rPr>
          <w:rFonts w:ascii="Times New Roman" w:hAnsi="Times New Roman" w:cs="Times New Roman"/>
          <w:i/>
        </w:rPr>
        <w:t>Fernández Prieto</w:t>
      </w:r>
      <w:r w:rsidR="00771AB8" w:rsidRPr="00846A70">
        <w:rPr>
          <w:rFonts w:ascii="Times New Roman" w:hAnsi="Times New Roman" w:cs="Times New Roman"/>
        </w:rPr>
        <w:t xml:space="preserve"> ante la C</w:t>
      </w:r>
      <w:r w:rsidR="00C74E53" w:rsidRPr="00846A70">
        <w:rPr>
          <w:rFonts w:ascii="Times New Roman" w:hAnsi="Times New Roman" w:cs="Times New Roman"/>
        </w:rPr>
        <w:t>SJN</w:t>
      </w:r>
      <w:r w:rsidR="00771AB8" w:rsidRPr="00846A70">
        <w:rPr>
          <w:rFonts w:ascii="Times New Roman" w:hAnsi="Times New Roman" w:cs="Times New Roman"/>
        </w:rPr>
        <w:t xml:space="preserve">, la detención había tenido lugar en una situación de flagrancia. </w:t>
      </w:r>
    </w:p>
    <w:p w:rsidR="00EE551E" w:rsidRPr="00846A70" w:rsidRDefault="00EE551E" w:rsidP="00846A70">
      <w:pPr>
        <w:jc w:val="both"/>
        <w:rPr>
          <w:rFonts w:ascii="Times New Roman" w:hAnsi="Times New Roman" w:cs="Times New Roman"/>
        </w:rPr>
      </w:pPr>
      <w:r w:rsidRPr="00846A70">
        <w:rPr>
          <w:rFonts w:ascii="Times New Roman" w:hAnsi="Times New Roman" w:cs="Times New Roman"/>
        </w:rPr>
        <w:t xml:space="preserve">El 15 de marzo de 1999, la Sala I de la Cámara Nacional de Casación Penal resolvió por mayoría anular la sentencia, dejando sin efecto la condena impuesta al señor Tumbeiro y absolviéndolo del delito de tenencia simple de estupefacientes. En el fallo mayoritario se afirmó que </w:t>
      </w:r>
      <w:r w:rsidRPr="00846A70">
        <w:rPr>
          <w:rFonts w:ascii="Times New Roman" w:hAnsi="Times New Roman" w:cs="Times New Roman"/>
          <w:u w:val="single"/>
        </w:rPr>
        <w:t>el procedimiento policial era nulo pues la intercepción de una persona en la vía pública y su posterior alojamiento en un vehículo policial constituía una verdadera detención que solo eufemísticamente podía ser llamada “demora”, y que tal detención nunca podía basarse en una observación del nerviosismo del sujeto pasivo de la medida de coerción, en tanto era una circunstancia equívoca</w:t>
      </w:r>
      <w:r w:rsidRPr="00846A70">
        <w:rPr>
          <w:rFonts w:ascii="Times New Roman" w:hAnsi="Times New Roman" w:cs="Times New Roman"/>
        </w:rPr>
        <w:t>. La Cámara consideró también que la detención por averiguación de identidad no se justificaba en el caso, en la medida en que no mediaron circunstancias objetivas que hicieran presumir la existencia de un delito o contravención.</w:t>
      </w:r>
    </w:p>
    <w:p w:rsidR="001141FA" w:rsidRPr="00846A70" w:rsidRDefault="001141FA" w:rsidP="00846A70">
      <w:pPr>
        <w:jc w:val="both"/>
        <w:rPr>
          <w:rFonts w:ascii="Times New Roman" w:hAnsi="Times New Roman" w:cs="Times New Roman"/>
        </w:rPr>
      </w:pPr>
      <w:r w:rsidRPr="00846A70">
        <w:rPr>
          <w:rFonts w:ascii="Times New Roman" w:hAnsi="Times New Roman" w:cs="Times New Roman"/>
        </w:rPr>
        <w:t>La Fiscalía interpuso un recurso extraordinario contra dicha decisión, en el cual sostuvo que el accionar policial se encontraba perfectamente avalado por la normativa vigente y que la decisión de la Sala había sido arbitraria. Además, reiteró el precedente</w:t>
      </w:r>
      <w:r w:rsidRPr="00846A70">
        <w:rPr>
          <w:rFonts w:ascii="Times New Roman" w:hAnsi="Times New Roman" w:cs="Times New Roman"/>
          <w:i/>
        </w:rPr>
        <w:t xml:space="preserve"> Fernández Prieto </w:t>
      </w:r>
      <w:r w:rsidRPr="00846A70">
        <w:rPr>
          <w:rFonts w:ascii="Times New Roman" w:hAnsi="Times New Roman" w:cs="Times New Roman"/>
        </w:rPr>
        <w:t>y consideró que los criterios del mismo debían aplicarse al caso del señor Tumbeiro. El recurso fue concedido por la Cámara Nacional de Casación Penal el 10 de mayo de 1999.</w:t>
      </w:r>
    </w:p>
    <w:p w:rsidR="001141FA" w:rsidRPr="00846A70" w:rsidRDefault="001141FA" w:rsidP="00846A70">
      <w:pPr>
        <w:jc w:val="both"/>
        <w:rPr>
          <w:rFonts w:ascii="Times New Roman" w:hAnsi="Times New Roman" w:cs="Times New Roman"/>
          <w:u w:val="single"/>
        </w:rPr>
      </w:pPr>
      <w:r w:rsidRPr="00846A70">
        <w:rPr>
          <w:rFonts w:ascii="Times New Roman" w:hAnsi="Times New Roman" w:cs="Times New Roman"/>
        </w:rPr>
        <w:t>El 3 de o</w:t>
      </w:r>
      <w:r w:rsidR="00723D25">
        <w:rPr>
          <w:rFonts w:ascii="Times New Roman" w:hAnsi="Times New Roman" w:cs="Times New Roman"/>
        </w:rPr>
        <w:t>ctubre de 2002,</w:t>
      </w:r>
      <w:r w:rsidRPr="00846A70">
        <w:rPr>
          <w:rFonts w:ascii="Times New Roman" w:hAnsi="Times New Roman" w:cs="Times New Roman"/>
        </w:rPr>
        <w:t xml:space="preserve"> por mayoría de cuatro votos, </w:t>
      </w:r>
      <w:r w:rsidR="00C74E53" w:rsidRPr="00846A70">
        <w:rPr>
          <w:rFonts w:ascii="Times New Roman" w:hAnsi="Times New Roman" w:cs="Times New Roman"/>
        </w:rPr>
        <w:t xml:space="preserve">la CSJN </w:t>
      </w:r>
      <w:r w:rsidRPr="00846A70">
        <w:rPr>
          <w:rFonts w:ascii="Times New Roman" w:hAnsi="Times New Roman" w:cs="Times New Roman"/>
        </w:rPr>
        <w:t xml:space="preserve">declaró procedente el recurso extraordinario y revocó la sentencia absolutoria de la Cámara Nacional de Casación Penal al considerar que </w:t>
      </w:r>
      <w:r w:rsidRPr="00846A70">
        <w:rPr>
          <w:rFonts w:ascii="Times New Roman" w:hAnsi="Times New Roman" w:cs="Times New Roman"/>
          <w:u w:val="single"/>
        </w:rPr>
        <w:t>el accionar policial había sido lícito y que habían mediado circunstancias que permitían concluir la existencia de un estado de so</w:t>
      </w:r>
      <w:r w:rsidR="00447A21">
        <w:rPr>
          <w:rFonts w:ascii="Times New Roman" w:hAnsi="Times New Roman" w:cs="Times New Roman"/>
          <w:u w:val="single"/>
        </w:rPr>
        <w:t>specha que habilitaba la medida</w:t>
      </w:r>
      <w:r w:rsidRPr="00846A70">
        <w:rPr>
          <w:rFonts w:ascii="Times New Roman" w:hAnsi="Times New Roman" w:cs="Times New Roman"/>
          <w:u w:val="single"/>
        </w:rPr>
        <w:t xml:space="preserve"> de coerción, en virtud del nerviosismo puesto de manifi</w:t>
      </w:r>
      <w:r w:rsidR="00447A21">
        <w:rPr>
          <w:rFonts w:ascii="Times New Roman" w:hAnsi="Times New Roman" w:cs="Times New Roman"/>
          <w:u w:val="single"/>
        </w:rPr>
        <w:t>esto por el señor Tumbeiro ante</w:t>
      </w:r>
      <w:r w:rsidRPr="00846A70">
        <w:rPr>
          <w:rFonts w:ascii="Times New Roman" w:hAnsi="Times New Roman" w:cs="Times New Roman"/>
          <w:u w:val="single"/>
        </w:rPr>
        <w:t xml:space="preserve"> la presencia del móvil policial y por el hecho de que se trataba de una persona que, por su comportamiento y vestimenta, no parecía de la zona.</w:t>
      </w:r>
    </w:p>
    <w:p w:rsidR="001141FA" w:rsidRPr="00846A70" w:rsidRDefault="001141FA" w:rsidP="00846A70">
      <w:pPr>
        <w:jc w:val="both"/>
        <w:rPr>
          <w:rFonts w:ascii="Times New Roman" w:hAnsi="Times New Roman" w:cs="Times New Roman"/>
        </w:rPr>
      </w:pPr>
      <w:r w:rsidRPr="00846A70">
        <w:rPr>
          <w:rFonts w:ascii="Times New Roman" w:hAnsi="Times New Roman" w:cs="Times New Roman"/>
        </w:rPr>
        <w:t>La mayoría de la Corte señaló que en el contexto del recorrido que los oficiales policiales se encontraban realizando en cumplimiento de su función de prevención del delito, “interceptaron al encartado en actitud sospechosa, que fue ulteriormente corroborada con el hallazgo de estupefacientes, y comunicaron de inmediato la detención al juez”. En ese sentido,</w:t>
      </w:r>
      <w:r w:rsidR="00AC4552" w:rsidRPr="00846A70">
        <w:rPr>
          <w:rFonts w:ascii="Times New Roman" w:hAnsi="Times New Roman" w:cs="Times New Roman"/>
        </w:rPr>
        <w:t xml:space="preserve"> manifestaron que la sentencia impugnada</w:t>
      </w:r>
      <w:r w:rsidRPr="00846A70">
        <w:rPr>
          <w:rFonts w:ascii="Times New Roman" w:hAnsi="Times New Roman" w:cs="Times New Roman"/>
        </w:rPr>
        <w:t xml:space="preserve"> había omitido “valorar juntamente con el nerviosismo que mostraba el</w:t>
      </w:r>
      <w:r w:rsidR="00AC4552" w:rsidRPr="00846A70">
        <w:rPr>
          <w:rFonts w:ascii="Times New Roman" w:hAnsi="Times New Roman" w:cs="Times New Roman"/>
        </w:rPr>
        <w:t xml:space="preserve"> imputado, las demás circunstancias por las cuales el personal policial decidió identificarlo.</w:t>
      </w:r>
    </w:p>
    <w:p w:rsidR="007E2826" w:rsidRPr="00846A70" w:rsidRDefault="00AC4552" w:rsidP="00846A70">
      <w:pPr>
        <w:jc w:val="both"/>
        <w:rPr>
          <w:rFonts w:ascii="Times New Roman" w:hAnsi="Times New Roman" w:cs="Times New Roman"/>
        </w:rPr>
      </w:pPr>
      <w:r w:rsidRPr="00846A70">
        <w:rPr>
          <w:rFonts w:ascii="Times New Roman" w:hAnsi="Times New Roman" w:cs="Times New Roman"/>
        </w:rPr>
        <w:t xml:space="preserve">Como consecuencia de la causa penal que comenzó con una detención y requisa inválidas, el señor Tumbeiro fue privado de la libertad un día completo, sometido a proceso durante más de </w:t>
      </w:r>
      <w:r w:rsidRPr="00846A70">
        <w:rPr>
          <w:rFonts w:ascii="Times New Roman" w:hAnsi="Times New Roman" w:cs="Times New Roman"/>
        </w:rPr>
        <w:lastRenderedPageBreak/>
        <w:t>cuatro años y medio, y quedó luego a disposición de la justicia en la fase de ejecución durante casi cuatro años más, aun cuando el monto de su pena ascendía a un año y seis meses de prisión de cumplimiento en suspenso. Además, como consecuencia debió cumplir con las reglas de conducta impuestas, realizar distintos esfuerzos para satisfacer las tareas comunitarias ordenadas, solventar las costas del proceso y pagar la multa ordenada. En ese tiempo, vio severamente afectadas su situación personal y sus relaciones familiares.</w:t>
      </w:r>
    </w:p>
    <w:p w:rsidR="00F36620" w:rsidRPr="00846A70" w:rsidRDefault="00F36620" w:rsidP="002B7727">
      <w:pPr>
        <w:pStyle w:val="Elementa2"/>
        <w:numPr>
          <w:ilvl w:val="0"/>
          <w:numId w:val="14"/>
        </w:numPr>
        <w:spacing w:line="276" w:lineRule="auto"/>
        <w:rPr>
          <w:rFonts w:ascii="Times New Roman" w:hAnsi="Times New Roman"/>
        </w:rPr>
      </w:pPr>
      <w:r w:rsidRPr="00846A70">
        <w:rPr>
          <w:rFonts w:ascii="Times New Roman" w:hAnsi="Times New Roman"/>
        </w:rPr>
        <w:t>Contexto</w:t>
      </w:r>
      <w:r w:rsidR="00146862" w:rsidRPr="00846A70">
        <w:rPr>
          <w:rFonts w:ascii="Times New Roman" w:hAnsi="Times New Roman"/>
        </w:rPr>
        <w:t xml:space="preserve"> en el que tuvieron lugar las detenciones de Carlos Alberto Fernández Pri</w:t>
      </w:r>
      <w:r w:rsidR="00447A21">
        <w:rPr>
          <w:rFonts w:ascii="Times New Roman" w:hAnsi="Times New Roman"/>
        </w:rPr>
        <w:t>eto y Carlos Alejandro Tumbeiro</w:t>
      </w:r>
    </w:p>
    <w:p w:rsidR="00146862" w:rsidRPr="00846A70" w:rsidRDefault="00146862" w:rsidP="00846A70">
      <w:pPr>
        <w:pStyle w:val="Elementa2"/>
        <w:spacing w:line="276" w:lineRule="auto"/>
        <w:rPr>
          <w:rFonts w:ascii="Times New Roman" w:hAnsi="Times New Roman"/>
        </w:rPr>
      </w:pPr>
    </w:p>
    <w:p w:rsidR="00146862" w:rsidRPr="00846A70" w:rsidRDefault="00624E13" w:rsidP="002B7727">
      <w:pPr>
        <w:pStyle w:val="Elementa3"/>
        <w:numPr>
          <w:ilvl w:val="0"/>
          <w:numId w:val="16"/>
        </w:numPr>
        <w:spacing w:line="276" w:lineRule="auto"/>
      </w:pPr>
      <w:r w:rsidRPr="00846A70">
        <w:t>El uso de</w:t>
      </w:r>
      <w:r w:rsidR="00146862" w:rsidRPr="00846A70">
        <w:t xml:space="preserve"> la figura del contexto</w:t>
      </w:r>
      <w:r w:rsidRPr="00846A70">
        <w:t xml:space="preserve"> como una herramienta de análisis</w:t>
      </w:r>
      <w:r w:rsidR="00146862" w:rsidRPr="00846A70">
        <w:t xml:space="preserve"> en el presente caso</w:t>
      </w:r>
    </w:p>
    <w:p w:rsidR="00624E13" w:rsidRPr="00846A70" w:rsidRDefault="00624E13" w:rsidP="00846A70">
      <w:pPr>
        <w:pStyle w:val="Elementa3"/>
        <w:spacing w:line="276" w:lineRule="auto"/>
        <w:rPr>
          <w:sz w:val="22"/>
          <w:szCs w:val="22"/>
        </w:rPr>
      </w:pPr>
    </w:p>
    <w:p w:rsidR="00885BAB" w:rsidRPr="000B6048" w:rsidRDefault="00846A70" w:rsidP="00846A70">
      <w:pPr>
        <w:jc w:val="both"/>
        <w:rPr>
          <w:rFonts w:ascii="Times New Roman" w:hAnsi="Times New Roman" w:cs="Times New Roman"/>
          <w:color w:val="auto"/>
          <w:lang w:val="es-ES"/>
        </w:rPr>
      </w:pPr>
      <w:r w:rsidRPr="00846A70">
        <w:rPr>
          <w:rFonts w:ascii="Times New Roman" w:hAnsi="Times New Roman" w:cs="Times New Roman"/>
          <w:lang w:val="es-ES"/>
        </w:rPr>
        <w:t>La</w:t>
      </w:r>
      <w:r w:rsidR="003F28F5">
        <w:rPr>
          <w:rFonts w:ascii="Times New Roman" w:hAnsi="Times New Roman" w:cs="Times New Roman"/>
          <w:lang w:val="es-ES"/>
        </w:rPr>
        <w:t xml:space="preserve"> función contenciosa de</w:t>
      </w:r>
      <w:r>
        <w:rPr>
          <w:rFonts w:ascii="Times New Roman" w:hAnsi="Times New Roman" w:cs="Times New Roman"/>
          <w:lang w:val="es-ES"/>
        </w:rPr>
        <w:t xml:space="preserve"> </w:t>
      </w:r>
      <w:r w:rsidR="003F28F5">
        <w:rPr>
          <w:rFonts w:ascii="Times New Roman" w:hAnsi="Times New Roman" w:cs="Times New Roman"/>
          <w:lang w:val="es-ES"/>
        </w:rPr>
        <w:t xml:space="preserve">esta </w:t>
      </w:r>
      <w:r>
        <w:rPr>
          <w:rFonts w:ascii="Times New Roman" w:hAnsi="Times New Roman" w:cs="Times New Roman"/>
          <w:lang w:val="es-ES"/>
        </w:rPr>
        <w:t>Corte IDH ha incorporado</w:t>
      </w:r>
      <w:r w:rsidR="009D7FA4" w:rsidRPr="00846A70">
        <w:rPr>
          <w:rFonts w:ascii="Times New Roman" w:hAnsi="Times New Roman" w:cs="Times New Roman"/>
          <w:lang w:val="es-ES"/>
        </w:rPr>
        <w:t xml:space="preserve"> </w:t>
      </w:r>
      <w:r>
        <w:rPr>
          <w:rFonts w:ascii="Times New Roman" w:hAnsi="Times New Roman" w:cs="Times New Roman"/>
          <w:lang w:val="es-ES"/>
        </w:rPr>
        <w:t xml:space="preserve">en </w:t>
      </w:r>
      <w:r w:rsidR="009D7FA4" w:rsidRPr="00846A70">
        <w:rPr>
          <w:rFonts w:ascii="Times New Roman" w:hAnsi="Times New Roman" w:cs="Times New Roman"/>
          <w:lang w:val="es-ES"/>
        </w:rPr>
        <w:t>los elementos probatorios a considerar par</w:t>
      </w:r>
      <w:r>
        <w:rPr>
          <w:rFonts w:ascii="Times New Roman" w:hAnsi="Times New Roman" w:cs="Times New Roman"/>
          <w:lang w:val="es-ES"/>
        </w:rPr>
        <w:t>a la resolución de sus casos</w:t>
      </w:r>
      <w:r w:rsidR="000B6048">
        <w:rPr>
          <w:rFonts w:ascii="Times New Roman" w:hAnsi="Times New Roman" w:cs="Times New Roman"/>
          <w:lang w:val="es-ES"/>
        </w:rPr>
        <w:t xml:space="preserve"> y la determinación de responsabilidad internacional</w:t>
      </w:r>
      <w:r>
        <w:rPr>
          <w:rFonts w:ascii="Times New Roman" w:hAnsi="Times New Roman" w:cs="Times New Roman"/>
          <w:lang w:val="es-ES"/>
        </w:rPr>
        <w:t xml:space="preserve">, el </w:t>
      </w:r>
      <w:r w:rsidR="009D7FA4" w:rsidRPr="00846A70">
        <w:rPr>
          <w:rFonts w:ascii="Times New Roman" w:hAnsi="Times New Roman" w:cs="Times New Roman"/>
          <w:lang w:val="es-ES"/>
        </w:rPr>
        <w:t>contexto</w:t>
      </w:r>
      <w:r>
        <w:rPr>
          <w:rFonts w:ascii="Times New Roman" w:hAnsi="Times New Roman" w:cs="Times New Roman"/>
          <w:lang w:val="es-ES"/>
        </w:rPr>
        <w:t xml:space="preserve"> como herramienta para analizar</w:t>
      </w:r>
      <w:r w:rsidR="009D7FA4" w:rsidRPr="00846A70">
        <w:rPr>
          <w:rFonts w:ascii="Times New Roman" w:hAnsi="Times New Roman" w:cs="Times New Roman"/>
          <w:lang w:val="es-ES"/>
        </w:rPr>
        <w:t xml:space="preserve"> los hecho</w:t>
      </w:r>
      <w:r>
        <w:rPr>
          <w:rFonts w:ascii="Times New Roman" w:hAnsi="Times New Roman" w:cs="Times New Roman"/>
          <w:lang w:val="es-ES"/>
        </w:rPr>
        <w:t>s bajo estudio. En sentido</w:t>
      </w:r>
      <w:r w:rsidR="009D7FA4" w:rsidRPr="00846A70">
        <w:rPr>
          <w:rFonts w:ascii="Times New Roman" w:hAnsi="Times New Roman" w:cs="Times New Roman"/>
          <w:lang w:val="es-ES"/>
        </w:rPr>
        <w:t>,</w:t>
      </w:r>
      <w:r>
        <w:rPr>
          <w:rFonts w:ascii="Times New Roman" w:hAnsi="Times New Roman" w:cs="Times New Roman"/>
          <w:lang w:val="es-ES"/>
        </w:rPr>
        <w:t xml:space="preserve"> este Tribunal </w:t>
      </w:r>
      <w:r w:rsidR="009D7FA4" w:rsidRPr="00846A70">
        <w:rPr>
          <w:rFonts w:ascii="Times New Roman" w:hAnsi="Times New Roman" w:cs="Times New Roman"/>
          <w:lang w:val="es-ES"/>
        </w:rPr>
        <w:t>“en el ejercicio de su jurisdicción contenciosa, ha conocido de diversos contextos históricos, sociales y políticos que permiti</w:t>
      </w:r>
      <w:r w:rsidR="000B6048">
        <w:rPr>
          <w:rFonts w:ascii="Times New Roman" w:hAnsi="Times New Roman" w:cs="Times New Roman"/>
          <w:lang w:val="es-ES"/>
        </w:rPr>
        <w:t xml:space="preserve">eron situar los hechos alegados </w:t>
      </w:r>
      <w:r w:rsidR="009D7FA4" w:rsidRPr="00846A70">
        <w:rPr>
          <w:rFonts w:ascii="Times New Roman" w:hAnsi="Times New Roman" w:cs="Times New Roman"/>
          <w:lang w:val="es-ES"/>
        </w:rPr>
        <w:t>como violatorios de la CADH en el marco de las circunstancias específicas en que ocurrieron</w:t>
      </w:r>
      <w:r w:rsidRPr="00846A70">
        <w:rPr>
          <w:rFonts w:ascii="Times New Roman" w:hAnsi="Times New Roman" w:cs="Times New Roman"/>
          <w:lang w:val="es-ES"/>
        </w:rPr>
        <w:t>.</w:t>
      </w:r>
      <w:r w:rsidR="009D7FA4" w:rsidRPr="00846A70">
        <w:rPr>
          <w:rFonts w:ascii="Times New Roman" w:hAnsi="Times New Roman" w:cs="Times New Roman"/>
          <w:lang w:val="es-ES"/>
        </w:rPr>
        <w:t>”</w:t>
      </w:r>
      <w:r w:rsidR="009D7FA4" w:rsidRPr="00846A70">
        <w:rPr>
          <w:rStyle w:val="Refdenotaalpie"/>
          <w:rFonts w:ascii="Times New Roman" w:hAnsi="Times New Roman" w:cs="Times New Roman"/>
          <w:lang w:val="es-ES"/>
        </w:rPr>
        <w:footnoteReference w:id="5"/>
      </w:r>
      <w:r>
        <w:rPr>
          <w:rFonts w:ascii="Times New Roman" w:hAnsi="Times New Roman" w:cs="Times New Roman"/>
          <w:color w:val="auto"/>
          <w:lang w:val="es-ES"/>
        </w:rPr>
        <w:t xml:space="preserve">Así, en </w:t>
      </w:r>
      <w:r w:rsidR="003F28F5">
        <w:rPr>
          <w:rFonts w:ascii="Times New Roman" w:hAnsi="Times New Roman" w:cs="Times New Roman"/>
          <w:color w:val="auto"/>
          <w:lang w:val="es-ES"/>
        </w:rPr>
        <w:t>la jurisprudencia de esta</w:t>
      </w:r>
      <w:r w:rsidR="000B6048">
        <w:rPr>
          <w:rFonts w:ascii="Times New Roman" w:hAnsi="Times New Roman" w:cs="Times New Roman"/>
          <w:color w:val="auto"/>
          <w:lang w:val="es-ES"/>
        </w:rPr>
        <w:t xml:space="preserve"> Corte IDH se observa </w:t>
      </w:r>
      <w:r w:rsidR="009D7FA4" w:rsidRPr="00846A70">
        <w:rPr>
          <w:rFonts w:ascii="Times New Roman" w:hAnsi="Times New Roman" w:cs="Times New Roman"/>
          <w:color w:val="auto"/>
          <w:lang w:val="es-ES"/>
        </w:rPr>
        <w:t>el uso de distintas</w:t>
      </w:r>
      <w:r>
        <w:rPr>
          <w:rFonts w:ascii="Times New Roman" w:hAnsi="Times New Roman" w:cs="Times New Roman"/>
          <w:color w:val="auto"/>
          <w:lang w:val="es-ES"/>
        </w:rPr>
        <w:t xml:space="preserve"> escalas de análisis nacional y local</w:t>
      </w:r>
      <w:r w:rsidR="009D7FA4" w:rsidRPr="00846A70">
        <w:rPr>
          <w:rStyle w:val="Refdenotaalpie"/>
          <w:rFonts w:ascii="Times New Roman" w:hAnsi="Times New Roman" w:cs="Times New Roman"/>
          <w:color w:val="auto"/>
          <w:lang w:val="es-ES"/>
        </w:rPr>
        <w:footnoteReference w:id="6"/>
      </w:r>
      <w:r w:rsidR="009D7FA4" w:rsidRPr="00846A70">
        <w:rPr>
          <w:rFonts w:ascii="Times New Roman" w:hAnsi="Times New Roman" w:cs="Times New Roman"/>
          <w:color w:val="auto"/>
          <w:lang w:val="es-ES"/>
        </w:rPr>
        <w:t>; diversos enfoques que varían de acuerdo con el tema cent</w:t>
      </w:r>
      <w:r w:rsidR="00885BAB">
        <w:rPr>
          <w:rFonts w:ascii="Times New Roman" w:hAnsi="Times New Roman" w:cs="Times New Roman"/>
          <w:color w:val="auto"/>
          <w:lang w:val="es-ES"/>
        </w:rPr>
        <w:t>ral de los hechos del caso</w:t>
      </w:r>
      <w:r w:rsidR="009D7FA4" w:rsidRPr="00846A70">
        <w:rPr>
          <w:rFonts w:ascii="Times New Roman" w:hAnsi="Times New Roman" w:cs="Times New Roman"/>
          <w:color w:val="auto"/>
          <w:lang w:val="es-ES"/>
        </w:rPr>
        <w:t xml:space="preserve">; y también el uso de múltiples y variadas fuentes que incluyen informes de organismos nacionales e internacionales, noticias </w:t>
      </w:r>
      <w:r w:rsidR="009D7FA4" w:rsidRPr="00846A70">
        <w:rPr>
          <w:rFonts w:ascii="Times New Roman" w:hAnsi="Times New Roman" w:cs="Times New Roman"/>
          <w:lang w:val="es-ES"/>
        </w:rPr>
        <w:t>periodísticas, peritajes</w:t>
      </w:r>
      <w:r w:rsidR="000B6048">
        <w:rPr>
          <w:rFonts w:ascii="Times New Roman" w:hAnsi="Times New Roman" w:cs="Times New Roman"/>
          <w:lang w:val="es-ES"/>
        </w:rPr>
        <w:t xml:space="preserve"> con personas expertas en diversas temáticas</w:t>
      </w:r>
      <w:r w:rsidR="009D7FA4" w:rsidRPr="00846A70">
        <w:rPr>
          <w:rFonts w:ascii="Times New Roman" w:hAnsi="Times New Roman" w:cs="Times New Roman"/>
          <w:lang w:val="es-ES"/>
        </w:rPr>
        <w:t xml:space="preserve">, textos académicos y doctrina, sentencias y leyes nacionales, </w:t>
      </w:r>
      <w:r w:rsidR="00885BAB">
        <w:rPr>
          <w:rFonts w:ascii="Times New Roman" w:hAnsi="Times New Roman" w:cs="Times New Roman"/>
          <w:lang w:val="es-ES"/>
        </w:rPr>
        <w:t>decisiones emitidas en el Sistema</w:t>
      </w:r>
      <w:r w:rsidR="0085291F">
        <w:rPr>
          <w:rFonts w:ascii="Times New Roman" w:hAnsi="Times New Roman" w:cs="Times New Roman"/>
          <w:lang w:val="es-ES"/>
        </w:rPr>
        <w:t xml:space="preserve"> Universal de Derechos Humanos</w:t>
      </w:r>
      <w:r w:rsidR="00885BAB">
        <w:rPr>
          <w:rFonts w:ascii="Times New Roman" w:hAnsi="Times New Roman" w:cs="Times New Roman"/>
          <w:lang w:val="es-ES"/>
        </w:rPr>
        <w:t>, criterios emitidos por la CIDH y la propia jurisprudencial del Tribunal.</w:t>
      </w:r>
    </w:p>
    <w:p w:rsidR="009D7FA4" w:rsidRPr="00447A21" w:rsidRDefault="009D7FA4" w:rsidP="00846A70">
      <w:pPr>
        <w:jc w:val="both"/>
        <w:rPr>
          <w:rFonts w:ascii="Times New Roman" w:hAnsi="Times New Roman" w:cs="Times New Roman"/>
          <w:u w:val="single"/>
          <w:lang w:val="es-ES"/>
        </w:rPr>
      </w:pPr>
      <w:r w:rsidRPr="00846A70">
        <w:rPr>
          <w:rFonts w:ascii="Times New Roman" w:hAnsi="Times New Roman" w:cs="Times New Roman"/>
          <w:lang w:val="es-ES"/>
        </w:rPr>
        <w:t xml:space="preserve">Esta nutrida concepción del contexto también se ha visto reflejada en la diversidad de casos en los que la Corte lo ha utilizado como una prueba indiciaria para tomar </w:t>
      </w:r>
      <w:r w:rsidR="0085291F" w:rsidRPr="00846A70">
        <w:rPr>
          <w:rFonts w:ascii="Times New Roman" w:hAnsi="Times New Roman" w:cs="Times New Roman"/>
          <w:lang w:val="es-ES"/>
        </w:rPr>
        <w:t xml:space="preserve">las </w:t>
      </w:r>
      <w:r w:rsidR="0085291F">
        <w:rPr>
          <w:rFonts w:ascii="Times New Roman" w:hAnsi="Times New Roman" w:cs="Times New Roman"/>
          <w:lang w:val="es-ES"/>
        </w:rPr>
        <w:t>decisiones</w:t>
      </w:r>
      <w:r w:rsidRPr="00846A70">
        <w:rPr>
          <w:rFonts w:ascii="Times New Roman" w:hAnsi="Times New Roman" w:cs="Times New Roman"/>
          <w:lang w:val="es-ES"/>
        </w:rPr>
        <w:t xml:space="preserve"> pertinentes para cada situación. </w:t>
      </w:r>
      <w:r w:rsidR="0085291F">
        <w:rPr>
          <w:rFonts w:ascii="Times New Roman" w:hAnsi="Times New Roman" w:cs="Times New Roman"/>
          <w:lang w:val="es-ES"/>
        </w:rPr>
        <w:t xml:space="preserve">Al </w:t>
      </w:r>
      <w:r w:rsidR="003F28F5">
        <w:rPr>
          <w:rFonts w:ascii="Times New Roman" w:hAnsi="Times New Roman" w:cs="Times New Roman"/>
          <w:lang w:val="es-ES"/>
        </w:rPr>
        <w:t xml:space="preserve">respecto, </w:t>
      </w:r>
      <w:r w:rsidR="003F28F5" w:rsidRPr="00846A70">
        <w:rPr>
          <w:rFonts w:ascii="Times New Roman" w:hAnsi="Times New Roman" w:cs="Times New Roman"/>
          <w:lang w:val="es-ES"/>
        </w:rPr>
        <w:t>esta</w:t>
      </w:r>
      <w:r w:rsidR="003F28F5">
        <w:rPr>
          <w:rFonts w:ascii="Times New Roman" w:hAnsi="Times New Roman" w:cs="Times New Roman"/>
          <w:lang w:val="es-ES"/>
        </w:rPr>
        <w:t xml:space="preserve"> </w:t>
      </w:r>
      <w:r w:rsidRPr="00846A70">
        <w:rPr>
          <w:rFonts w:ascii="Times New Roman" w:hAnsi="Times New Roman" w:cs="Times New Roman"/>
          <w:lang w:val="es-ES"/>
        </w:rPr>
        <w:t>Corte IDH ha recurrido al contexto en</w:t>
      </w:r>
      <w:r w:rsidRPr="003F28F5">
        <w:rPr>
          <w:rFonts w:ascii="Times New Roman" w:hAnsi="Times New Roman" w:cs="Times New Roman"/>
          <w:u w:val="single"/>
          <w:lang w:val="es-ES"/>
        </w:rPr>
        <w:t xml:space="preserve"> i) en casos que suponen “una serie </w:t>
      </w:r>
      <w:r w:rsidR="0085291F" w:rsidRPr="003F28F5">
        <w:rPr>
          <w:rFonts w:ascii="Times New Roman" w:hAnsi="Times New Roman" w:cs="Times New Roman"/>
          <w:u w:val="single"/>
          <w:lang w:val="es-ES"/>
        </w:rPr>
        <w:t>de hechos</w:t>
      </w:r>
      <w:r w:rsidRPr="003F28F5">
        <w:rPr>
          <w:rFonts w:ascii="Times New Roman" w:hAnsi="Times New Roman" w:cs="Times New Roman"/>
          <w:u w:val="single"/>
          <w:lang w:val="es-ES"/>
        </w:rPr>
        <w:t xml:space="preserve"> en el marco de los cuales suceden las violaciones concretas de derechos humanos que se alegan, en una época determinada, y que va más allá de casos aislados”; ii) cuando las violaciones de derechos son una cuestión colectiva, masiva o sistemática; y iii) en aquellos </w:t>
      </w:r>
      <w:r w:rsidR="00406EEC" w:rsidRPr="003F28F5">
        <w:rPr>
          <w:rFonts w:ascii="Times New Roman" w:hAnsi="Times New Roman" w:cs="Times New Roman"/>
          <w:u w:val="single"/>
          <w:lang w:val="es-ES"/>
        </w:rPr>
        <w:t>asuntos donde</w:t>
      </w:r>
      <w:r w:rsidRPr="003F28F5">
        <w:rPr>
          <w:rFonts w:ascii="Times New Roman" w:hAnsi="Times New Roman" w:cs="Times New Roman"/>
          <w:u w:val="single"/>
          <w:lang w:val="es-ES"/>
        </w:rPr>
        <w:t xml:space="preserve"> los hechos conforman “una práctica prevaleciente en una época concreta </w:t>
      </w:r>
      <w:r w:rsidRPr="003F28F5">
        <w:rPr>
          <w:rFonts w:ascii="Times New Roman" w:hAnsi="Times New Roman" w:cs="Times New Roman"/>
          <w:u w:val="single"/>
          <w:lang w:val="es-ES"/>
        </w:rPr>
        <w:lastRenderedPageBreak/>
        <w:t xml:space="preserve">frente </w:t>
      </w:r>
      <w:r w:rsidRPr="004214AA">
        <w:rPr>
          <w:rFonts w:ascii="Times New Roman" w:hAnsi="Times New Roman" w:cs="Times New Roman"/>
          <w:u w:val="single"/>
          <w:lang w:val="es-ES"/>
        </w:rPr>
        <w:t>a un grupo de personas con un vínculo en común”</w:t>
      </w:r>
      <w:r w:rsidRPr="00846A70">
        <w:rPr>
          <w:rStyle w:val="Refdenotaalpie"/>
          <w:rFonts w:ascii="Times New Roman" w:hAnsi="Times New Roman" w:cs="Times New Roman"/>
          <w:lang w:val="es-ES"/>
        </w:rPr>
        <w:t xml:space="preserve"> </w:t>
      </w:r>
      <w:r w:rsidRPr="00846A70">
        <w:rPr>
          <w:rStyle w:val="Refdenotaalpie"/>
          <w:rFonts w:ascii="Times New Roman" w:hAnsi="Times New Roman" w:cs="Times New Roman"/>
          <w:lang w:val="es-ES"/>
        </w:rPr>
        <w:footnoteReference w:id="7"/>
      </w:r>
      <w:r w:rsidRPr="00846A70">
        <w:rPr>
          <w:rFonts w:ascii="Times New Roman" w:hAnsi="Times New Roman" w:cs="Times New Roman"/>
          <w:lang w:val="es-ES"/>
        </w:rPr>
        <w:t>.</w:t>
      </w:r>
      <w:r w:rsidR="005C105B">
        <w:rPr>
          <w:rFonts w:ascii="Times New Roman" w:hAnsi="Times New Roman" w:cs="Times New Roman"/>
          <w:lang w:val="es-ES"/>
        </w:rPr>
        <w:t xml:space="preserve"> </w:t>
      </w:r>
      <w:r w:rsidR="00406EEC">
        <w:rPr>
          <w:rFonts w:ascii="Times New Roman" w:hAnsi="Times New Roman" w:cs="Times New Roman"/>
          <w:lang w:val="es-ES"/>
        </w:rPr>
        <w:t>Por tanto, se puede concluir que el contexto, en</w:t>
      </w:r>
      <w:r w:rsidR="005C105B" w:rsidRPr="005C105B">
        <w:rPr>
          <w:rFonts w:ascii="Times New Roman" w:hAnsi="Times New Roman" w:cs="Times New Roman"/>
          <w:lang w:val="es-ES"/>
        </w:rPr>
        <w:t xml:space="preserve"> que ocurrieron los hechos</w:t>
      </w:r>
      <w:r w:rsidR="00406EEC">
        <w:rPr>
          <w:rFonts w:ascii="Times New Roman" w:hAnsi="Times New Roman" w:cs="Times New Roman"/>
          <w:lang w:val="es-ES"/>
        </w:rPr>
        <w:t xml:space="preserve"> </w:t>
      </w:r>
      <w:r w:rsidR="00EA0B87">
        <w:rPr>
          <w:rFonts w:ascii="Times New Roman" w:hAnsi="Times New Roman" w:cs="Times New Roman"/>
          <w:lang w:val="es-ES"/>
        </w:rPr>
        <w:t>que se ubican bajo estudio de esta Corte</w:t>
      </w:r>
      <w:r w:rsidR="00406EEC">
        <w:rPr>
          <w:rFonts w:ascii="Times New Roman" w:hAnsi="Times New Roman" w:cs="Times New Roman"/>
          <w:lang w:val="es-ES"/>
        </w:rPr>
        <w:t>,</w:t>
      </w:r>
      <w:r w:rsidR="005C105B" w:rsidRPr="005C105B">
        <w:rPr>
          <w:rFonts w:ascii="Times New Roman" w:hAnsi="Times New Roman" w:cs="Times New Roman"/>
          <w:lang w:val="es-ES"/>
        </w:rPr>
        <w:t xml:space="preserve"> impregna y condiciona la responsabilidad internacional del Estado en relación con su obligación de respetar y garantizar los </w:t>
      </w:r>
      <w:r w:rsidR="004F16D9" w:rsidRPr="005C105B">
        <w:rPr>
          <w:rFonts w:ascii="Times New Roman" w:hAnsi="Times New Roman" w:cs="Times New Roman"/>
          <w:lang w:val="es-ES"/>
        </w:rPr>
        <w:t>derechos</w:t>
      </w:r>
      <w:r w:rsidR="004F16D9">
        <w:rPr>
          <w:rFonts w:ascii="Times New Roman" w:hAnsi="Times New Roman" w:cs="Times New Roman"/>
          <w:lang w:val="es-ES"/>
        </w:rPr>
        <w:t xml:space="preserve">. </w:t>
      </w:r>
    </w:p>
    <w:p w:rsidR="00D06045" w:rsidRDefault="003F28F5" w:rsidP="003F28F5">
      <w:pPr>
        <w:jc w:val="both"/>
        <w:rPr>
          <w:rFonts w:ascii="Times New Roman" w:hAnsi="Times New Roman" w:cs="Times New Roman"/>
        </w:rPr>
      </w:pPr>
      <w:r>
        <w:rPr>
          <w:rFonts w:ascii="Times New Roman" w:hAnsi="Times New Roman" w:cs="Times New Roman"/>
          <w:lang w:val="es-ES"/>
        </w:rPr>
        <w:t xml:space="preserve">Asimismo, </w:t>
      </w:r>
      <w:r w:rsidR="00CC5A8D">
        <w:rPr>
          <w:rFonts w:ascii="Times New Roman" w:hAnsi="Times New Roman" w:cs="Times New Roman"/>
          <w:lang w:val="es-ES"/>
        </w:rPr>
        <w:t xml:space="preserve">es </w:t>
      </w:r>
      <w:r>
        <w:rPr>
          <w:rFonts w:ascii="Times New Roman" w:hAnsi="Times New Roman" w:cs="Times New Roman"/>
          <w:lang w:val="es-ES"/>
        </w:rPr>
        <w:t>relevante resaltar</w:t>
      </w:r>
      <w:r w:rsidR="004F16D9" w:rsidRPr="008E4F1D">
        <w:rPr>
          <w:rFonts w:ascii="Times New Roman" w:hAnsi="Times New Roman" w:cs="Times New Roman"/>
          <w:lang w:val="es-ES"/>
        </w:rPr>
        <w:t xml:space="preserve"> la jurisprud</w:t>
      </w:r>
      <w:r w:rsidR="00EA0B87">
        <w:rPr>
          <w:rFonts w:ascii="Times New Roman" w:hAnsi="Times New Roman" w:cs="Times New Roman"/>
          <w:lang w:val="es-ES"/>
        </w:rPr>
        <w:t>encia construida por este Tribunal</w:t>
      </w:r>
      <w:r w:rsidR="004F16D9" w:rsidRPr="008E4F1D">
        <w:rPr>
          <w:rFonts w:ascii="Times New Roman" w:hAnsi="Times New Roman" w:cs="Times New Roman"/>
          <w:lang w:val="es-ES"/>
        </w:rPr>
        <w:t xml:space="preserve"> se desprende una multiplicidad de elementos o categorías que ha tomado en consideración de</w:t>
      </w:r>
      <w:r w:rsidR="00EA0B87">
        <w:rPr>
          <w:rFonts w:ascii="Times New Roman" w:hAnsi="Times New Roman" w:cs="Times New Roman"/>
          <w:lang w:val="es-ES"/>
        </w:rPr>
        <w:t xml:space="preserve"> esta Corte IDH</w:t>
      </w:r>
      <w:r w:rsidR="004F16D9" w:rsidRPr="008E4F1D">
        <w:rPr>
          <w:rFonts w:ascii="Times New Roman" w:hAnsi="Times New Roman" w:cs="Times New Roman"/>
          <w:lang w:val="es-ES"/>
        </w:rPr>
        <w:t xml:space="preserve"> para construir un contexto.</w:t>
      </w:r>
      <w:r w:rsidR="004F16D9" w:rsidRPr="008E4F1D">
        <w:rPr>
          <w:rStyle w:val="Refdenotaalpie"/>
          <w:rFonts w:ascii="Times New Roman" w:hAnsi="Times New Roman" w:cs="Times New Roman"/>
          <w:lang w:val="es-ES"/>
        </w:rPr>
        <w:footnoteReference w:id="8"/>
      </w:r>
      <w:r w:rsidR="004F16D9" w:rsidRPr="008E4F1D">
        <w:rPr>
          <w:rFonts w:ascii="Times New Roman" w:hAnsi="Times New Roman" w:cs="Times New Roman"/>
          <w:lang w:val="es-ES"/>
        </w:rPr>
        <w:t xml:space="preserve"> </w:t>
      </w:r>
      <w:r w:rsidR="008E4F1D" w:rsidRPr="008E4F1D">
        <w:rPr>
          <w:rFonts w:ascii="Times New Roman" w:hAnsi="Times New Roman" w:cs="Times New Roman"/>
          <w:lang w:val="es-ES"/>
        </w:rPr>
        <w:t xml:space="preserve">Entre estos resaltan: i) </w:t>
      </w:r>
      <w:r w:rsidR="008E4F1D" w:rsidRPr="008E4F1D">
        <w:rPr>
          <w:rFonts w:ascii="Times New Roman" w:hAnsi="Times New Roman" w:cs="Times New Roman"/>
        </w:rPr>
        <w:t>la conducta de agentes estatales en la época de los hechos</w:t>
      </w:r>
      <w:r w:rsidR="008E4F1D">
        <w:rPr>
          <w:rStyle w:val="Refdenotaalpie"/>
          <w:rFonts w:ascii="Times New Roman" w:hAnsi="Times New Roman" w:cs="Times New Roman"/>
        </w:rPr>
        <w:footnoteReference w:id="9"/>
      </w:r>
      <w:r w:rsidR="008E4F1D" w:rsidRPr="008E4F1D">
        <w:rPr>
          <w:rFonts w:ascii="Times New Roman" w:hAnsi="Times New Roman" w:cs="Times New Roman"/>
        </w:rPr>
        <w:t>; ii) deficiencias institucionales</w:t>
      </w:r>
      <w:r w:rsidR="008E4F1D">
        <w:rPr>
          <w:rStyle w:val="Refdenotaalpie"/>
          <w:rFonts w:ascii="Times New Roman" w:hAnsi="Times New Roman" w:cs="Times New Roman"/>
        </w:rPr>
        <w:footnoteReference w:id="10"/>
      </w:r>
      <w:r w:rsidR="008E4F1D" w:rsidRPr="008E4F1D">
        <w:rPr>
          <w:rFonts w:ascii="Times New Roman" w:hAnsi="Times New Roman" w:cs="Times New Roman"/>
        </w:rPr>
        <w:t>; iii) razones políticas, ideológicas o sindicales</w:t>
      </w:r>
      <w:r w:rsidR="008E4F1D">
        <w:rPr>
          <w:rStyle w:val="Refdenotaalpie"/>
          <w:rFonts w:ascii="Times New Roman" w:hAnsi="Times New Roman" w:cs="Times New Roman"/>
        </w:rPr>
        <w:footnoteReference w:id="11"/>
      </w:r>
      <w:r w:rsidR="008E4F1D" w:rsidRPr="008E4F1D">
        <w:rPr>
          <w:rFonts w:ascii="Times New Roman" w:hAnsi="Times New Roman" w:cs="Times New Roman"/>
        </w:rPr>
        <w:t>; iv) el propio sistema jurídico de un determinado Estado</w:t>
      </w:r>
      <w:r w:rsidR="008E4F1D">
        <w:rPr>
          <w:rStyle w:val="Refdenotaalpie"/>
          <w:rFonts w:ascii="Times New Roman" w:hAnsi="Times New Roman" w:cs="Times New Roman"/>
        </w:rPr>
        <w:footnoteReference w:id="12"/>
      </w:r>
      <w:r w:rsidR="008E4F1D" w:rsidRPr="008E4F1D">
        <w:rPr>
          <w:rFonts w:ascii="Times New Roman" w:hAnsi="Times New Roman" w:cs="Times New Roman"/>
        </w:rPr>
        <w:t xml:space="preserve"> y</w:t>
      </w:r>
      <w:r w:rsidR="008E4F1D">
        <w:rPr>
          <w:rFonts w:ascii="Times New Roman" w:hAnsi="Times New Roman" w:cs="Times New Roman"/>
        </w:rPr>
        <w:t>,</w:t>
      </w:r>
      <w:r w:rsidR="008E4F1D" w:rsidRPr="008E4F1D">
        <w:rPr>
          <w:rFonts w:ascii="Times New Roman" w:hAnsi="Times New Roman" w:cs="Times New Roman"/>
        </w:rPr>
        <w:t xml:space="preserve"> v) la conducta de agentes privados, inclusive con funciones estatales.</w:t>
      </w:r>
      <w:r w:rsidR="008E4F1D">
        <w:rPr>
          <w:rStyle w:val="Refdenotaalpie"/>
          <w:rFonts w:ascii="Times New Roman" w:hAnsi="Times New Roman" w:cs="Times New Roman"/>
        </w:rPr>
        <w:footnoteReference w:id="13"/>
      </w:r>
      <w:r w:rsidR="00A34F61">
        <w:rPr>
          <w:rFonts w:ascii="Times New Roman" w:hAnsi="Times New Roman" w:cs="Times New Roman"/>
        </w:rPr>
        <w:t xml:space="preserve"> </w:t>
      </w:r>
      <w:r w:rsidR="00B04E25">
        <w:rPr>
          <w:rFonts w:ascii="Times New Roman" w:hAnsi="Times New Roman" w:cs="Times New Roman"/>
        </w:rPr>
        <w:t>Asimismo, e</w:t>
      </w:r>
      <w:r w:rsidR="00A34F61">
        <w:rPr>
          <w:rFonts w:ascii="Times New Roman" w:hAnsi="Times New Roman" w:cs="Times New Roman"/>
        </w:rPr>
        <w:t>n</w:t>
      </w:r>
      <w:r w:rsidR="00B04E25">
        <w:rPr>
          <w:rFonts w:ascii="Times New Roman" w:hAnsi="Times New Roman" w:cs="Times New Roman"/>
        </w:rPr>
        <w:t>tre</w:t>
      </w:r>
      <w:r>
        <w:rPr>
          <w:rFonts w:ascii="Times New Roman" w:hAnsi="Times New Roman" w:cs="Times New Roman"/>
        </w:rPr>
        <w:t xml:space="preserve"> las razones de esta</w:t>
      </w:r>
      <w:r w:rsidR="00A34F61">
        <w:rPr>
          <w:rFonts w:ascii="Times New Roman" w:hAnsi="Times New Roman" w:cs="Times New Roman"/>
        </w:rPr>
        <w:t xml:space="preserve"> CorteIDH para utilizar la figura del contexto</w:t>
      </w:r>
      <w:r w:rsidR="00F93C6C">
        <w:rPr>
          <w:rFonts w:ascii="Times New Roman" w:hAnsi="Times New Roman" w:cs="Times New Roman"/>
        </w:rPr>
        <w:t xml:space="preserve"> en los casos bajo su estudio</w:t>
      </w:r>
      <w:r w:rsidR="00B04E25">
        <w:rPr>
          <w:rFonts w:ascii="Times New Roman" w:hAnsi="Times New Roman" w:cs="Times New Roman"/>
        </w:rPr>
        <w:t xml:space="preserve"> destaca la comprensión de las violaciones a derechos humanos, la posibilidad de enmarcar los hechos concretos en un escenario más amplio de conductas estatales e identificar patrones de violaciones a derechos humanos.</w:t>
      </w:r>
      <w:r w:rsidR="00B04E25">
        <w:rPr>
          <w:rStyle w:val="Refdenotaalpie"/>
          <w:rFonts w:ascii="Times New Roman" w:hAnsi="Times New Roman" w:cs="Times New Roman"/>
        </w:rPr>
        <w:footnoteReference w:id="14"/>
      </w:r>
    </w:p>
    <w:p w:rsidR="00D06045" w:rsidRPr="00447A21" w:rsidRDefault="00F43A9F" w:rsidP="008E4F1D">
      <w:pPr>
        <w:jc w:val="both"/>
        <w:rPr>
          <w:rFonts w:ascii="Times New Roman" w:hAnsi="Times New Roman" w:cs="Times New Roman"/>
          <w:u w:val="single"/>
        </w:rPr>
      </w:pPr>
      <w:r>
        <w:rPr>
          <w:rFonts w:ascii="Times New Roman" w:hAnsi="Times New Roman" w:cs="Times New Roman"/>
        </w:rPr>
        <w:t xml:space="preserve">En los casos de los señores </w:t>
      </w:r>
      <w:r w:rsidRPr="00EA0B87">
        <w:rPr>
          <w:rFonts w:ascii="Times New Roman" w:hAnsi="Times New Roman" w:cs="Times New Roman"/>
          <w:i/>
        </w:rPr>
        <w:t xml:space="preserve">Fernández Prieto </w:t>
      </w:r>
      <w:r>
        <w:rPr>
          <w:rFonts w:ascii="Times New Roman" w:hAnsi="Times New Roman" w:cs="Times New Roman"/>
        </w:rPr>
        <w:t xml:space="preserve">y </w:t>
      </w:r>
      <w:r w:rsidRPr="00EA0B87">
        <w:rPr>
          <w:rFonts w:ascii="Times New Roman" w:hAnsi="Times New Roman" w:cs="Times New Roman"/>
          <w:i/>
        </w:rPr>
        <w:t>Tumbeiro</w:t>
      </w:r>
      <w:r>
        <w:rPr>
          <w:rFonts w:ascii="Times New Roman" w:hAnsi="Times New Roman" w:cs="Times New Roman"/>
        </w:rPr>
        <w:t xml:space="preserve">, </w:t>
      </w:r>
      <w:r w:rsidR="00EA0B87">
        <w:rPr>
          <w:rFonts w:ascii="Times New Roman" w:hAnsi="Times New Roman" w:cs="Times New Roman"/>
        </w:rPr>
        <w:t xml:space="preserve"> </w:t>
      </w:r>
      <w:r>
        <w:rPr>
          <w:rFonts w:ascii="Times New Roman" w:hAnsi="Times New Roman" w:cs="Times New Roman"/>
        </w:rPr>
        <w:t>la utilización del contexto</w:t>
      </w:r>
      <w:r w:rsidR="00EA0B87">
        <w:rPr>
          <w:rFonts w:ascii="Times New Roman" w:hAnsi="Times New Roman" w:cs="Times New Roman"/>
        </w:rPr>
        <w:t xml:space="preserve"> por parte de este Tribunal,</w:t>
      </w:r>
      <w:r>
        <w:rPr>
          <w:rFonts w:ascii="Times New Roman" w:hAnsi="Times New Roman" w:cs="Times New Roman"/>
        </w:rPr>
        <w:t xml:space="preserve"> como herramienta de análisis de los hechos relacionados con su detención y los procesos penales seguidos en su contra</w:t>
      </w:r>
      <w:r w:rsidR="001E083C">
        <w:rPr>
          <w:rFonts w:ascii="Times New Roman" w:hAnsi="Times New Roman" w:cs="Times New Roman"/>
        </w:rPr>
        <w:t xml:space="preserve"> por delitos relacionados con transporte y tenencia de drogas respectivamente, adquiere especial relevancia, </w:t>
      </w:r>
      <w:r>
        <w:rPr>
          <w:rFonts w:ascii="Times New Roman" w:hAnsi="Times New Roman" w:cs="Times New Roman"/>
        </w:rPr>
        <w:t>ya</w:t>
      </w:r>
      <w:r w:rsidR="001E083C">
        <w:rPr>
          <w:rFonts w:ascii="Times New Roman" w:hAnsi="Times New Roman" w:cs="Times New Roman"/>
        </w:rPr>
        <w:t xml:space="preserve"> que</w:t>
      </w:r>
      <w:r>
        <w:rPr>
          <w:rFonts w:ascii="Times New Roman" w:hAnsi="Times New Roman" w:cs="Times New Roman"/>
        </w:rPr>
        <w:t xml:space="preserve"> ambos casos son reflejo </w:t>
      </w:r>
      <w:r w:rsidRPr="00F43A9F">
        <w:rPr>
          <w:rFonts w:ascii="Times New Roman" w:hAnsi="Times New Roman" w:cs="Times New Roman"/>
          <w:u w:val="single"/>
        </w:rPr>
        <w:t>de un patrón de detenciones arbitrarias por parte de la policía en el E</w:t>
      </w:r>
      <w:r w:rsidR="001E083C">
        <w:rPr>
          <w:rFonts w:ascii="Times New Roman" w:hAnsi="Times New Roman" w:cs="Times New Roman"/>
          <w:u w:val="single"/>
        </w:rPr>
        <w:t>stado argentino, que tiene un</w:t>
      </w:r>
      <w:r w:rsidRPr="00F43A9F">
        <w:rPr>
          <w:rFonts w:ascii="Times New Roman" w:hAnsi="Times New Roman" w:cs="Times New Roman"/>
          <w:u w:val="single"/>
        </w:rPr>
        <w:t xml:space="preserve"> impacto diferenciado en las personas procesadas y juzgadas por</w:t>
      </w:r>
      <w:r w:rsidR="001E083C">
        <w:rPr>
          <w:rFonts w:ascii="Times New Roman" w:hAnsi="Times New Roman" w:cs="Times New Roman"/>
          <w:u w:val="single"/>
        </w:rPr>
        <w:t xml:space="preserve"> delitos relacionadas con sustancias psicoactivas</w:t>
      </w:r>
      <w:r w:rsidRPr="00F43A9F">
        <w:rPr>
          <w:rFonts w:ascii="Times New Roman" w:hAnsi="Times New Roman" w:cs="Times New Roman"/>
          <w:u w:val="single"/>
        </w:rPr>
        <w:t>. Todo esto, en el marco</w:t>
      </w:r>
      <w:r w:rsidR="001E083C">
        <w:rPr>
          <w:rFonts w:ascii="Times New Roman" w:hAnsi="Times New Roman" w:cs="Times New Roman"/>
          <w:u w:val="single"/>
        </w:rPr>
        <w:t xml:space="preserve"> de una política punitiva en materia de drogas que,</w:t>
      </w:r>
      <w:r w:rsidRPr="00F43A9F">
        <w:rPr>
          <w:rFonts w:ascii="Times New Roman" w:hAnsi="Times New Roman" w:cs="Times New Roman"/>
          <w:u w:val="single"/>
        </w:rPr>
        <w:t xml:space="preserve"> a trav</w:t>
      </w:r>
      <w:r w:rsidR="001E083C">
        <w:rPr>
          <w:rFonts w:ascii="Times New Roman" w:hAnsi="Times New Roman" w:cs="Times New Roman"/>
          <w:u w:val="single"/>
        </w:rPr>
        <w:t>és de la</w:t>
      </w:r>
      <w:r w:rsidRPr="00F43A9F">
        <w:rPr>
          <w:rFonts w:ascii="Times New Roman" w:hAnsi="Times New Roman" w:cs="Times New Roman"/>
          <w:u w:val="single"/>
        </w:rPr>
        <w:t xml:space="preserve"> </w:t>
      </w:r>
      <w:r w:rsidR="00EA0B87" w:rsidRPr="00F43A9F">
        <w:rPr>
          <w:rFonts w:ascii="Times New Roman" w:hAnsi="Times New Roman" w:cs="Times New Roman"/>
          <w:u w:val="single"/>
        </w:rPr>
        <w:t>legislaci</w:t>
      </w:r>
      <w:r w:rsidR="00EA0B87">
        <w:rPr>
          <w:rFonts w:ascii="Times New Roman" w:hAnsi="Times New Roman" w:cs="Times New Roman"/>
          <w:u w:val="single"/>
        </w:rPr>
        <w:t>ón y la validación de las instancias jurisdiccionales</w:t>
      </w:r>
      <w:r w:rsidRPr="00F43A9F">
        <w:rPr>
          <w:rFonts w:ascii="Times New Roman" w:hAnsi="Times New Roman" w:cs="Times New Roman"/>
          <w:u w:val="single"/>
        </w:rPr>
        <w:t>, avala la detención de personas sin orden judicial y/o averiguación de identidad, sustentadas en estereotipos, perfiles y actitudes catalogadas como “sospechosas.”</w:t>
      </w:r>
      <w:r w:rsidR="004214AA">
        <w:rPr>
          <w:rFonts w:ascii="Times New Roman" w:hAnsi="Times New Roman" w:cs="Times New Roman"/>
          <w:u w:val="single"/>
        </w:rPr>
        <w:t xml:space="preserve"> </w:t>
      </w:r>
      <w:r w:rsidR="004214AA">
        <w:rPr>
          <w:rFonts w:ascii="Times New Roman" w:hAnsi="Times New Roman" w:cs="Times New Roman"/>
        </w:rPr>
        <w:t xml:space="preserve"> El análisis de esta Corte IDH podría dar pie a cambios dentro del ordenamiento jurídico de Argentina que aseguren el pleno respeto y garantía de los derechos y libertades de las personas sujetas a su jurisdicción. </w:t>
      </w:r>
    </w:p>
    <w:p w:rsidR="001E4A13" w:rsidRPr="002D7571" w:rsidRDefault="00EA0B87" w:rsidP="008E4F1D">
      <w:pPr>
        <w:jc w:val="both"/>
        <w:rPr>
          <w:rFonts w:ascii="Times New Roman" w:hAnsi="Times New Roman" w:cs="Times New Roman"/>
        </w:rPr>
      </w:pPr>
      <w:r>
        <w:rPr>
          <w:rFonts w:ascii="Times New Roman" w:hAnsi="Times New Roman" w:cs="Times New Roman"/>
        </w:rPr>
        <w:t>De igual forma, con</w:t>
      </w:r>
      <w:r w:rsidR="00575AF2">
        <w:rPr>
          <w:rFonts w:ascii="Times New Roman" w:hAnsi="Times New Roman" w:cs="Times New Roman"/>
        </w:rPr>
        <w:t>sideramos que estudiar</w:t>
      </w:r>
      <w:r>
        <w:rPr>
          <w:rFonts w:ascii="Times New Roman" w:hAnsi="Times New Roman" w:cs="Times New Roman"/>
        </w:rPr>
        <w:t xml:space="preserve"> los hechos de las detenciones relacionadas con trasporte y/o tenencia de drogas bajo la herramienta del contexto, permite visibilizar a la luz de los derechos contenidos en la CADH, las políticas y prácticas de fiscalización de sustancias </w:t>
      </w:r>
      <w:r>
        <w:rPr>
          <w:rFonts w:ascii="Times New Roman" w:hAnsi="Times New Roman" w:cs="Times New Roman"/>
        </w:rPr>
        <w:lastRenderedPageBreak/>
        <w:t xml:space="preserve">psicoactivas </w:t>
      </w:r>
      <w:r w:rsidR="00D80A88">
        <w:rPr>
          <w:rFonts w:ascii="Times New Roman" w:hAnsi="Times New Roman" w:cs="Times New Roman"/>
        </w:rPr>
        <w:t>bajo el enfoque prohibicionista, que impactan en diversos países de</w:t>
      </w:r>
      <w:r>
        <w:rPr>
          <w:rFonts w:ascii="Times New Roman" w:hAnsi="Times New Roman" w:cs="Times New Roman"/>
        </w:rPr>
        <w:t>l continente</w:t>
      </w:r>
      <w:r w:rsidR="00D80A88">
        <w:rPr>
          <w:rFonts w:ascii="Times New Roman" w:hAnsi="Times New Roman" w:cs="Times New Roman"/>
        </w:rPr>
        <w:t xml:space="preserve"> americano</w:t>
      </w:r>
      <w:r>
        <w:rPr>
          <w:rFonts w:ascii="Times New Roman" w:hAnsi="Times New Roman" w:cs="Times New Roman"/>
        </w:rPr>
        <w:t xml:space="preserve">. Lo anterior, tomando en cuenta </w:t>
      </w:r>
      <w:r w:rsidR="001E4A13">
        <w:rPr>
          <w:rFonts w:ascii="Times New Roman" w:hAnsi="Times New Roman" w:cs="Times New Roman"/>
        </w:rPr>
        <w:t xml:space="preserve">la </w:t>
      </w:r>
      <w:r w:rsidR="001E4A13" w:rsidRPr="00980933">
        <w:rPr>
          <w:rFonts w:ascii="Times New Roman" w:hAnsi="Times New Roman" w:cs="Times New Roman"/>
          <w:i/>
        </w:rPr>
        <w:t>Declaración de Antigua Guatemala, “Por una política integral frente al problema mundial de las drogas en las Américas”</w:t>
      </w:r>
      <w:r w:rsidR="001E4A13">
        <w:rPr>
          <w:rFonts w:ascii="Times New Roman" w:hAnsi="Times New Roman" w:cs="Times New Roman"/>
        </w:rPr>
        <w:t xml:space="preserve"> emitida por la Asamblea General de la Organización de los Estados Americanos (OEA) donde se reconoce: </w:t>
      </w:r>
    </w:p>
    <w:p w:rsidR="001E4A13" w:rsidRDefault="001E4A13" w:rsidP="00D80A88">
      <w:pPr>
        <w:ind w:left="567" w:right="567"/>
        <w:jc w:val="both"/>
        <w:rPr>
          <w:rFonts w:ascii="Times New Roman" w:hAnsi="Times New Roman" w:cs="Times New Roman"/>
          <w:sz w:val="20"/>
          <w:szCs w:val="20"/>
        </w:rPr>
      </w:pPr>
      <w:r w:rsidRPr="001E4A13">
        <w:rPr>
          <w:rFonts w:ascii="Times New Roman" w:hAnsi="Times New Roman" w:cs="Times New Roman"/>
          <w:sz w:val="20"/>
          <w:szCs w:val="20"/>
        </w:rPr>
        <w:t>“[…]</w:t>
      </w:r>
      <w:r w:rsidR="00575AF2">
        <w:rPr>
          <w:rFonts w:ascii="Times New Roman" w:hAnsi="Times New Roman" w:cs="Times New Roman"/>
          <w:sz w:val="20"/>
          <w:szCs w:val="20"/>
        </w:rPr>
        <w:t>q</w:t>
      </w:r>
      <w:r w:rsidRPr="001E4A13">
        <w:rPr>
          <w:rFonts w:ascii="Times New Roman" w:hAnsi="Times New Roman" w:cs="Times New Roman"/>
          <w:sz w:val="20"/>
          <w:szCs w:val="20"/>
        </w:rPr>
        <w:t>ue las políticas de drogas deben contener una perspectiva transversal de derechos humanos, consistente con las obligaciones de las partes de acuerdo al derecho internacional, incluyendo la Convención Americana de Derechos Humanos y demás instrumentos jurídicos de derechos humanos aplicables, así como la Declaración Americana de los Derechos y Deberes del Hombre, con el fin de promover y lograr el bienestar de la persona, su inclusión social, el acceso a la justicia, a la salud, entre otros[…]</w:t>
      </w:r>
      <w:r w:rsidR="00980933">
        <w:rPr>
          <w:rStyle w:val="Refdenotaalpie"/>
          <w:rFonts w:ascii="Times New Roman" w:hAnsi="Times New Roman" w:cs="Times New Roman"/>
          <w:sz w:val="20"/>
          <w:szCs w:val="20"/>
        </w:rPr>
        <w:footnoteReference w:id="15"/>
      </w:r>
      <w:r w:rsidR="00447A21">
        <w:rPr>
          <w:rFonts w:ascii="Times New Roman" w:hAnsi="Times New Roman" w:cs="Times New Roman"/>
          <w:sz w:val="20"/>
          <w:szCs w:val="20"/>
        </w:rPr>
        <w:t>.</w:t>
      </w:r>
    </w:p>
    <w:p w:rsidR="00EA0B87" w:rsidRPr="00EA0B87" w:rsidRDefault="00D80A88" w:rsidP="00957897">
      <w:pPr>
        <w:jc w:val="both"/>
        <w:rPr>
          <w:rFonts w:ascii="Times New Roman" w:hAnsi="Times New Roman" w:cs="Times New Roman"/>
        </w:rPr>
      </w:pPr>
      <w:r w:rsidRPr="00D80A88">
        <w:rPr>
          <w:rFonts w:ascii="Times New Roman" w:hAnsi="Times New Roman" w:cs="Times New Roman"/>
        </w:rPr>
        <w:t>Así</w:t>
      </w:r>
      <w:r>
        <w:rPr>
          <w:rFonts w:ascii="Times New Roman" w:hAnsi="Times New Roman" w:cs="Times New Roman"/>
        </w:rPr>
        <w:t xml:space="preserve"> como</w:t>
      </w:r>
      <w:r w:rsidR="00575AF2">
        <w:rPr>
          <w:rFonts w:ascii="Times New Roman" w:hAnsi="Times New Roman" w:cs="Times New Roman"/>
        </w:rPr>
        <w:t xml:space="preserve"> los</w:t>
      </w:r>
      <w:r>
        <w:rPr>
          <w:rFonts w:ascii="Times New Roman" w:hAnsi="Times New Roman" w:cs="Times New Roman"/>
        </w:rPr>
        <w:t xml:space="preserve"> casos </w:t>
      </w:r>
      <w:r w:rsidRPr="00D80A88">
        <w:rPr>
          <w:rFonts w:ascii="Times New Roman" w:hAnsi="Times New Roman" w:cs="Times New Roman"/>
        </w:rPr>
        <w:t>anteriormente analizados y las sentencias emitidas por esta Corte IDH</w:t>
      </w:r>
      <w:r w:rsidR="00575AF2">
        <w:rPr>
          <w:rFonts w:ascii="Times New Roman" w:hAnsi="Times New Roman" w:cs="Times New Roman"/>
        </w:rPr>
        <w:t>,</w:t>
      </w:r>
      <w:r>
        <w:rPr>
          <w:rFonts w:ascii="Times New Roman" w:hAnsi="Times New Roman" w:cs="Times New Roman"/>
        </w:rPr>
        <w:t xml:space="preserve"> donde ha declarado la responsabilidad internacional de Estados como Ecuador y México, por hechos</w:t>
      </w:r>
      <w:r w:rsidRPr="00D80A88">
        <w:rPr>
          <w:rFonts w:ascii="Times New Roman" w:hAnsi="Times New Roman" w:cs="Times New Roman"/>
        </w:rPr>
        <w:t xml:space="preserve"> </w:t>
      </w:r>
      <w:r>
        <w:rPr>
          <w:rFonts w:ascii="Times New Roman" w:hAnsi="Times New Roman" w:cs="Times New Roman"/>
        </w:rPr>
        <w:t xml:space="preserve">relacionados </w:t>
      </w:r>
      <w:r w:rsidR="00575AF2">
        <w:rPr>
          <w:rFonts w:ascii="Times New Roman" w:hAnsi="Times New Roman" w:cs="Times New Roman"/>
        </w:rPr>
        <w:t xml:space="preserve"> precisamente, </w:t>
      </w:r>
      <w:r>
        <w:rPr>
          <w:rFonts w:ascii="Times New Roman" w:hAnsi="Times New Roman" w:cs="Times New Roman"/>
        </w:rPr>
        <w:t>con vulneraciones a la libertad personal, al debido proceso legal e incluso</w:t>
      </w:r>
      <w:r w:rsidR="00255B86">
        <w:rPr>
          <w:rFonts w:ascii="Times New Roman" w:hAnsi="Times New Roman" w:cs="Times New Roman"/>
        </w:rPr>
        <w:t>,</w:t>
      </w:r>
      <w:r>
        <w:rPr>
          <w:rFonts w:ascii="Times New Roman" w:hAnsi="Times New Roman" w:cs="Times New Roman"/>
        </w:rPr>
        <w:t xml:space="preserve"> a la integridad personal por actos de tortura y otros tratos crueles inhumanos y degradantes en el marco de detenciones arbitrarias relacionadas con</w:t>
      </w:r>
      <w:r w:rsidR="004214AA">
        <w:rPr>
          <w:rFonts w:ascii="Times New Roman" w:hAnsi="Times New Roman" w:cs="Times New Roman"/>
        </w:rPr>
        <w:t xml:space="preserve"> delitos d</w:t>
      </w:r>
      <w:r>
        <w:rPr>
          <w:rFonts w:ascii="Times New Roman" w:hAnsi="Times New Roman" w:cs="Times New Roman"/>
        </w:rPr>
        <w:t>e drogas.</w:t>
      </w:r>
      <w:r w:rsidR="003F28F5">
        <w:rPr>
          <w:rStyle w:val="Refdenotaalpie"/>
          <w:rFonts w:ascii="Times New Roman" w:hAnsi="Times New Roman" w:cs="Times New Roman"/>
        </w:rPr>
        <w:footnoteReference w:id="16"/>
      </w:r>
    </w:p>
    <w:p w:rsidR="00747148" w:rsidRPr="00033904" w:rsidRDefault="00CC5A8D" w:rsidP="00033904">
      <w:pPr>
        <w:jc w:val="both"/>
        <w:rPr>
          <w:rFonts w:ascii="Times New Roman" w:hAnsi="Times New Roman" w:cs="Times New Roman"/>
        </w:rPr>
      </w:pPr>
      <w:r>
        <w:rPr>
          <w:rFonts w:ascii="Times New Roman" w:hAnsi="Times New Roman" w:cs="Times New Roman"/>
        </w:rPr>
        <w:t>Atendiendo a</w:t>
      </w:r>
      <w:r w:rsidR="00033904">
        <w:rPr>
          <w:rFonts w:ascii="Times New Roman" w:hAnsi="Times New Roman" w:cs="Times New Roman"/>
        </w:rPr>
        <w:t xml:space="preserve"> los criterios señalados previamente en materia de contexto y la relevancia del análisis solicitado a</w:t>
      </w:r>
      <w:r w:rsidR="008F1221">
        <w:rPr>
          <w:rFonts w:ascii="Times New Roman" w:hAnsi="Times New Roman" w:cs="Times New Roman"/>
        </w:rPr>
        <w:t xml:space="preserve"> esta Corte IDH, a continuación</w:t>
      </w:r>
      <w:r w:rsidR="00033904">
        <w:rPr>
          <w:rFonts w:ascii="Times New Roman" w:hAnsi="Times New Roman" w:cs="Times New Roman"/>
        </w:rPr>
        <w:t xml:space="preserve"> expondremos el patrón de detenciones arbitrarias por parte de la policía en Argentina y las vulneraciones al debido proceso, con especial énfasis en aquellas detenciones que derivan en requisas y procesos penales relacionados con trasporte y/o tenencia de sustancias psicoactivas. </w:t>
      </w:r>
    </w:p>
    <w:p w:rsidR="00146862" w:rsidRDefault="00005E79" w:rsidP="007D4167">
      <w:pPr>
        <w:pStyle w:val="Elementa3"/>
        <w:numPr>
          <w:ilvl w:val="0"/>
          <w:numId w:val="16"/>
        </w:numPr>
        <w:spacing w:line="276" w:lineRule="auto"/>
      </w:pPr>
      <w:r w:rsidRPr="00846A70">
        <w:t>La práctica de detenciones arbitrarias por delitos de drogas en Argentina</w:t>
      </w:r>
    </w:p>
    <w:p w:rsidR="006F519B" w:rsidRDefault="006F519B" w:rsidP="00846A70">
      <w:pPr>
        <w:pStyle w:val="Elementa3"/>
        <w:spacing w:line="276" w:lineRule="auto"/>
      </w:pPr>
    </w:p>
    <w:p w:rsidR="00C946C6" w:rsidRDefault="00C946C6" w:rsidP="007D4167">
      <w:pPr>
        <w:pStyle w:val="Sinespaciado"/>
        <w:numPr>
          <w:ilvl w:val="0"/>
          <w:numId w:val="17"/>
        </w:numPr>
      </w:pPr>
      <w:r w:rsidRPr="001D68AB">
        <w:rPr>
          <w:rFonts w:ascii="Times New Roman" w:hAnsi="Times New Roman" w:cs="Times New Roman"/>
        </w:rPr>
        <w:t>Normativa sobre política de</w:t>
      </w:r>
      <w:r w:rsidR="00A017B6" w:rsidRPr="001D68AB">
        <w:rPr>
          <w:rFonts w:ascii="Times New Roman" w:hAnsi="Times New Roman" w:cs="Times New Roman"/>
        </w:rPr>
        <w:t xml:space="preserve"> drogas y facultades de la policía en materia de detención</w:t>
      </w:r>
      <w:r>
        <w:t xml:space="preserve"> </w:t>
      </w:r>
    </w:p>
    <w:p w:rsidR="00C946C6" w:rsidRDefault="00C946C6" w:rsidP="00C946C6">
      <w:pPr>
        <w:pStyle w:val="Sinespaciado"/>
        <w:ind w:left="720"/>
      </w:pPr>
    </w:p>
    <w:p w:rsidR="00974659" w:rsidRPr="00447A21" w:rsidRDefault="006F519B" w:rsidP="00CC5A8D">
      <w:pPr>
        <w:jc w:val="both"/>
        <w:rPr>
          <w:rFonts w:ascii="Times New Roman" w:hAnsi="Times New Roman" w:cs="Times New Roman"/>
        </w:rPr>
      </w:pPr>
      <w:r w:rsidRPr="00D05ACB">
        <w:rPr>
          <w:rFonts w:ascii="Times New Roman" w:hAnsi="Times New Roman" w:cs="Times New Roman"/>
        </w:rPr>
        <w:t>Con el retorno de la democracia después de la dictadura militar en A</w:t>
      </w:r>
      <w:r w:rsidR="00357D04" w:rsidRPr="00D05ACB">
        <w:rPr>
          <w:rFonts w:ascii="Times New Roman" w:hAnsi="Times New Roman" w:cs="Times New Roman"/>
        </w:rPr>
        <w:t>rgentina, se evidenció “una tensión entre recuperar las garant</w:t>
      </w:r>
      <w:r w:rsidR="00C22FBE" w:rsidRPr="00D05ACB">
        <w:rPr>
          <w:rFonts w:ascii="Times New Roman" w:hAnsi="Times New Roman" w:cs="Times New Roman"/>
        </w:rPr>
        <w:t>ías per</w:t>
      </w:r>
      <w:r w:rsidR="00357D04" w:rsidRPr="00D05ACB">
        <w:rPr>
          <w:rFonts w:ascii="Times New Roman" w:hAnsi="Times New Roman" w:cs="Times New Roman"/>
        </w:rPr>
        <w:t xml:space="preserve">didas </w:t>
      </w:r>
      <w:r w:rsidR="00C22FBE" w:rsidRPr="00D05ACB">
        <w:rPr>
          <w:rFonts w:ascii="Times New Roman" w:hAnsi="Times New Roman" w:cs="Times New Roman"/>
        </w:rPr>
        <w:t>durante el gobierno de facto</w:t>
      </w:r>
      <w:r w:rsidR="00357D04" w:rsidRPr="00D05ACB">
        <w:rPr>
          <w:rFonts w:ascii="Times New Roman" w:hAnsi="Times New Roman" w:cs="Times New Roman"/>
        </w:rPr>
        <w:t xml:space="preserve"> y la aparición de una nueva corriente discursiva: la seguridad ciudadana (urbana)”</w:t>
      </w:r>
      <w:r w:rsidR="00C22FBE" w:rsidRPr="00D05ACB">
        <w:rPr>
          <w:rFonts w:ascii="Times New Roman" w:hAnsi="Times New Roman" w:cs="Times New Roman"/>
        </w:rPr>
        <w:t>.</w:t>
      </w:r>
      <w:r w:rsidR="00C22FBE" w:rsidRPr="00D05ACB">
        <w:rPr>
          <w:rStyle w:val="Refdenotaalpie"/>
          <w:rFonts w:ascii="Times New Roman" w:hAnsi="Times New Roman" w:cs="Times New Roman"/>
        </w:rPr>
        <w:footnoteReference w:id="17"/>
      </w:r>
      <w:r w:rsidR="001E336A" w:rsidRPr="00D05ACB">
        <w:rPr>
          <w:rFonts w:ascii="Times New Roman" w:hAnsi="Times New Roman" w:cs="Times New Roman"/>
        </w:rPr>
        <w:t xml:space="preserve"> </w:t>
      </w:r>
      <w:r w:rsidR="00D05ACB" w:rsidRPr="00D05ACB">
        <w:rPr>
          <w:rFonts w:ascii="Times New Roman" w:hAnsi="Times New Roman" w:cs="Times New Roman"/>
        </w:rPr>
        <w:t xml:space="preserve"> Si bien durante la década de los ochentas existían disposiciones en el Código Penal </w:t>
      </w:r>
      <w:r w:rsidR="00D05ACB">
        <w:rPr>
          <w:rFonts w:ascii="Times New Roman" w:hAnsi="Times New Roman" w:cs="Times New Roman"/>
        </w:rPr>
        <w:t xml:space="preserve"> que </w:t>
      </w:r>
      <w:r w:rsidR="00D05ACB" w:rsidRPr="00D05ACB">
        <w:rPr>
          <w:rFonts w:ascii="Times New Roman" w:hAnsi="Times New Roman" w:cs="Times New Roman"/>
        </w:rPr>
        <w:t>permití</w:t>
      </w:r>
      <w:r w:rsidR="00D05ACB">
        <w:rPr>
          <w:rFonts w:ascii="Times New Roman" w:hAnsi="Times New Roman" w:cs="Times New Roman"/>
        </w:rPr>
        <w:t>a</w:t>
      </w:r>
      <w:r w:rsidR="00D05ACB" w:rsidRPr="00D05ACB">
        <w:rPr>
          <w:rFonts w:ascii="Times New Roman" w:hAnsi="Times New Roman" w:cs="Times New Roman"/>
        </w:rPr>
        <w:t xml:space="preserve"> que aquellas personas acusadas por delitos de tráfico pudieran permanecer en libertad durante el proceso y ser </w:t>
      </w:r>
      <w:r w:rsidR="00D05ACB">
        <w:rPr>
          <w:rFonts w:ascii="Times New Roman" w:hAnsi="Times New Roman" w:cs="Times New Roman"/>
        </w:rPr>
        <w:t>condenadas a prisión condicional</w:t>
      </w:r>
      <w:r w:rsidR="002B01BA">
        <w:rPr>
          <w:rFonts w:ascii="Times New Roman" w:hAnsi="Times New Roman" w:cs="Times New Roman"/>
        </w:rPr>
        <w:t xml:space="preserve">, así como la decisión </w:t>
      </w:r>
      <w:r w:rsidR="00A5440F" w:rsidRPr="00A5440F">
        <w:rPr>
          <w:rFonts w:ascii="Times New Roman" w:hAnsi="Times New Roman" w:cs="Times New Roman"/>
          <w:i/>
        </w:rPr>
        <w:t>Bazterrica</w:t>
      </w:r>
      <w:r w:rsidR="00A5440F">
        <w:rPr>
          <w:rFonts w:ascii="Times New Roman" w:hAnsi="Times New Roman" w:cs="Times New Roman"/>
        </w:rPr>
        <w:t>,</w:t>
      </w:r>
      <w:r w:rsidR="002B01BA">
        <w:rPr>
          <w:rFonts w:ascii="Times New Roman" w:hAnsi="Times New Roman" w:cs="Times New Roman"/>
        </w:rPr>
        <w:t xml:space="preserve"> de la CSJN </w:t>
      </w:r>
      <w:r w:rsidR="00D05ACB" w:rsidRPr="00D05ACB">
        <w:rPr>
          <w:rFonts w:ascii="Times New Roman" w:hAnsi="Times New Roman" w:cs="Times New Roman"/>
        </w:rPr>
        <w:t>en el que se declaró la inconstitucionalidad de la punición de la tenencia para consumo personal al considerar que avanzaba sobre las conductas privadas de los hombres amparadas por la Constitución Nacional</w:t>
      </w:r>
      <w:r w:rsidR="00D05ACB">
        <w:rPr>
          <w:rStyle w:val="Refdenotaalpie"/>
          <w:rFonts w:ascii="Times New Roman" w:hAnsi="Times New Roman" w:cs="Times New Roman"/>
        </w:rPr>
        <w:footnoteReference w:id="18"/>
      </w:r>
      <w:r w:rsidR="00D05ACB">
        <w:rPr>
          <w:rFonts w:ascii="Times New Roman" w:hAnsi="Times New Roman" w:cs="Times New Roman"/>
        </w:rPr>
        <w:t xml:space="preserve">, </w:t>
      </w:r>
      <w:r w:rsidR="002B01BA">
        <w:rPr>
          <w:rFonts w:ascii="Times New Roman" w:hAnsi="Times New Roman" w:cs="Times New Roman"/>
        </w:rPr>
        <w:t xml:space="preserve">con la </w:t>
      </w:r>
      <w:r w:rsidR="002B01BA" w:rsidRPr="002B01BA">
        <w:rPr>
          <w:rFonts w:ascii="Times New Roman" w:hAnsi="Times New Roman" w:cs="Times New Roman"/>
        </w:rPr>
        <w:t xml:space="preserve">firma de la </w:t>
      </w:r>
      <w:r w:rsidR="002B01BA" w:rsidRPr="00CC5A8D">
        <w:rPr>
          <w:rFonts w:ascii="Times New Roman" w:hAnsi="Times New Roman" w:cs="Times New Roman"/>
          <w:i/>
        </w:rPr>
        <w:t xml:space="preserve">Convención contra el Tráfico Ilícito de Estupefacientes y Sustancias </w:t>
      </w:r>
      <w:r w:rsidR="00CC5A8D">
        <w:rPr>
          <w:rFonts w:ascii="Times New Roman" w:hAnsi="Times New Roman" w:cs="Times New Roman"/>
          <w:i/>
        </w:rPr>
        <w:t>Psicotrópicas de las Naciones Unidas</w:t>
      </w:r>
      <w:r w:rsidR="002B01BA">
        <w:rPr>
          <w:rFonts w:ascii="Times New Roman" w:hAnsi="Times New Roman" w:cs="Times New Roman"/>
        </w:rPr>
        <w:t xml:space="preserve"> y la creación de nuevas instituciones para la fiscalización </w:t>
      </w:r>
      <w:r w:rsidR="002B01BA">
        <w:rPr>
          <w:rFonts w:ascii="Times New Roman" w:hAnsi="Times New Roman" w:cs="Times New Roman"/>
        </w:rPr>
        <w:lastRenderedPageBreak/>
        <w:t>de drogas, el poder legislativo incorporó la ideología de la seguridad ciudadana a través de la Ley  23.737</w:t>
      </w:r>
      <w:r w:rsidR="00DB7426">
        <w:rPr>
          <w:rFonts w:ascii="Times New Roman" w:hAnsi="Times New Roman" w:cs="Times New Roman"/>
        </w:rPr>
        <w:t xml:space="preserve"> sancionada y promulgada en 1989</w:t>
      </w:r>
      <w:r w:rsidR="002B01BA">
        <w:rPr>
          <w:rFonts w:ascii="Times New Roman" w:hAnsi="Times New Roman" w:cs="Times New Roman"/>
        </w:rPr>
        <w:t>.</w:t>
      </w:r>
      <w:r w:rsidR="002B01BA">
        <w:rPr>
          <w:rStyle w:val="Refdenotaalpie"/>
          <w:rFonts w:ascii="Times New Roman" w:hAnsi="Times New Roman" w:cs="Times New Roman"/>
        </w:rPr>
        <w:footnoteReference w:id="19"/>
      </w:r>
    </w:p>
    <w:p w:rsidR="00974659" w:rsidRDefault="00974659" w:rsidP="00CC5A8D">
      <w:pPr>
        <w:jc w:val="both"/>
        <w:rPr>
          <w:rFonts w:ascii="Times New Roman" w:hAnsi="Times New Roman" w:cs="Times New Roman"/>
        </w:rPr>
      </w:pPr>
      <w:r>
        <w:rPr>
          <w:rFonts w:ascii="Times New Roman" w:hAnsi="Times New Roman" w:cs="Times New Roman"/>
        </w:rPr>
        <w:t>El contenido de dicha normativa amplió las conductas y penas para los delitos de tráfico de sustancias psicoactivas, con prisión de cuatro a quince años. Se incorporó la tenencia simple con prisión de uno a seis años y la tenencia para consumo personal con una pena de un mes a dos años de prisión.</w:t>
      </w:r>
      <w:r>
        <w:rPr>
          <w:rStyle w:val="Refdenotaalpie"/>
          <w:rFonts w:ascii="Times New Roman" w:hAnsi="Times New Roman" w:cs="Times New Roman"/>
        </w:rPr>
        <w:footnoteReference w:id="20"/>
      </w:r>
      <w:r>
        <w:rPr>
          <w:rFonts w:ascii="Times New Roman" w:hAnsi="Times New Roman" w:cs="Times New Roman"/>
        </w:rPr>
        <w:t xml:space="preserve"> Al tiempo la CSJN emitió el fallo </w:t>
      </w:r>
      <w:r w:rsidRPr="00A5440F">
        <w:rPr>
          <w:rFonts w:ascii="Times New Roman" w:hAnsi="Times New Roman" w:cs="Times New Roman"/>
          <w:i/>
        </w:rPr>
        <w:t>Montalvo</w:t>
      </w:r>
      <w:r>
        <w:rPr>
          <w:rFonts w:ascii="Times New Roman" w:hAnsi="Times New Roman" w:cs="Times New Roman"/>
        </w:rPr>
        <w:t xml:space="preserve">, con el cual volvió a afirmar la constitucionalidad de la penalización de la tenencia para consumo personal. </w:t>
      </w:r>
    </w:p>
    <w:p w:rsidR="00A017B6" w:rsidRDefault="00110AE2" w:rsidP="00FE02F4">
      <w:pPr>
        <w:jc w:val="both"/>
        <w:rPr>
          <w:rFonts w:ascii="Times New Roman" w:hAnsi="Times New Roman" w:cs="Times New Roman"/>
        </w:rPr>
      </w:pPr>
      <w:r>
        <w:rPr>
          <w:rFonts w:ascii="Times New Roman" w:hAnsi="Times New Roman" w:cs="Times New Roman"/>
        </w:rPr>
        <w:t xml:space="preserve">Dicha legislación se implementó de la mano de la normativa procesal penal que permitía al momento de los hechos de cada uno de los casos bajo estudio por parte de esta Corte IDH, la detención sin orden judicial.  Al momento de la detención del señor Fernández Prieto, </w:t>
      </w:r>
      <w:r w:rsidR="00A219DC">
        <w:rPr>
          <w:rFonts w:ascii="Times New Roman" w:hAnsi="Times New Roman" w:cs="Times New Roman"/>
        </w:rPr>
        <w:t xml:space="preserve">el Código  </w:t>
      </w:r>
      <w:r w:rsidRPr="00110AE2">
        <w:rPr>
          <w:rFonts w:ascii="Times New Roman" w:hAnsi="Times New Roman" w:cs="Times New Roman"/>
        </w:rPr>
        <w:t>de Procedimientos e</w:t>
      </w:r>
      <w:r w:rsidR="00A219DC">
        <w:rPr>
          <w:rFonts w:ascii="Times New Roman" w:hAnsi="Times New Roman" w:cs="Times New Roman"/>
        </w:rPr>
        <w:t xml:space="preserve">n Materia Penal –Ley N° 2.372 (CPMP) reguló </w:t>
      </w:r>
      <w:r w:rsidRPr="00110AE2">
        <w:rPr>
          <w:rFonts w:ascii="Times New Roman" w:hAnsi="Times New Roman" w:cs="Times New Roman"/>
        </w:rPr>
        <w:t xml:space="preserve">las detenciones </w:t>
      </w:r>
      <w:r w:rsidR="00A219DC">
        <w:rPr>
          <w:rFonts w:ascii="Times New Roman" w:hAnsi="Times New Roman" w:cs="Times New Roman"/>
        </w:rPr>
        <w:t xml:space="preserve">de la siguiente forma: por un lado, el artículo 4 establecía que: </w:t>
      </w:r>
      <w:r w:rsidR="00A219DC" w:rsidRPr="00A219DC">
        <w:rPr>
          <w:rFonts w:ascii="Times New Roman" w:hAnsi="Times New Roman" w:cs="Times New Roman"/>
          <w:i/>
        </w:rPr>
        <w:t>“</w:t>
      </w:r>
      <w:r w:rsidR="00A219DC" w:rsidRPr="00183573">
        <w:rPr>
          <w:rFonts w:ascii="Times New Roman" w:hAnsi="Times New Roman" w:cs="Times New Roman"/>
          <w:u w:val="single"/>
        </w:rPr>
        <w:t>e</w:t>
      </w:r>
      <w:r w:rsidRPr="00183573">
        <w:rPr>
          <w:rFonts w:ascii="Times New Roman" w:hAnsi="Times New Roman" w:cs="Times New Roman"/>
          <w:u w:val="single"/>
        </w:rPr>
        <w:t>l jefe de la policía de la Capital y su</w:t>
      </w:r>
      <w:r w:rsidR="00A219DC" w:rsidRPr="00183573">
        <w:rPr>
          <w:rFonts w:ascii="Times New Roman" w:hAnsi="Times New Roman" w:cs="Times New Roman"/>
          <w:u w:val="single"/>
        </w:rPr>
        <w:t>s agentes tienen el deber</w:t>
      </w:r>
      <w:r w:rsidRPr="00183573">
        <w:rPr>
          <w:rFonts w:ascii="Times New Roman" w:hAnsi="Times New Roman" w:cs="Times New Roman"/>
          <w:u w:val="single"/>
        </w:rPr>
        <w:t xml:space="preserve"> de detener a </w:t>
      </w:r>
      <w:r w:rsidR="00A219DC" w:rsidRPr="00183573">
        <w:rPr>
          <w:rFonts w:ascii="Times New Roman" w:hAnsi="Times New Roman" w:cs="Times New Roman"/>
          <w:u w:val="single"/>
        </w:rPr>
        <w:t xml:space="preserve">las personas que sorprendan in  </w:t>
      </w:r>
      <w:r w:rsidRPr="00183573">
        <w:rPr>
          <w:rFonts w:ascii="Times New Roman" w:hAnsi="Times New Roman" w:cs="Times New Roman"/>
          <w:u w:val="single"/>
        </w:rPr>
        <w:t>fraganti delito y a aquélla</w:t>
      </w:r>
      <w:r w:rsidR="00A219DC" w:rsidRPr="00183573">
        <w:rPr>
          <w:rFonts w:ascii="Times New Roman" w:hAnsi="Times New Roman" w:cs="Times New Roman"/>
          <w:u w:val="single"/>
        </w:rPr>
        <w:t xml:space="preserve">s contra quienes haya indicios  </w:t>
      </w:r>
      <w:r w:rsidRPr="00183573">
        <w:rPr>
          <w:rFonts w:ascii="Times New Roman" w:hAnsi="Times New Roman" w:cs="Times New Roman"/>
          <w:u w:val="single"/>
        </w:rPr>
        <w:t>vehementes o sem</w:t>
      </w:r>
      <w:r w:rsidR="00A219DC" w:rsidRPr="00183573">
        <w:rPr>
          <w:rFonts w:ascii="Times New Roman" w:hAnsi="Times New Roman" w:cs="Times New Roman"/>
          <w:u w:val="single"/>
        </w:rPr>
        <w:t xml:space="preserve">iplena prueba de culpabilidad,  </w:t>
      </w:r>
      <w:r w:rsidRPr="00183573">
        <w:rPr>
          <w:rFonts w:ascii="Times New Roman" w:hAnsi="Times New Roman" w:cs="Times New Roman"/>
          <w:u w:val="single"/>
        </w:rPr>
        <w:t>debiendo ponerlas in</w:t>
      </w:r>
      <w:r w:rsidR="00A219DC" w:rsidRPr="00183573">
        <w:rPr>
          <w:rFonts w:ascii="Times New Roman" w:hAnsi="Times New Roman" w:cs="Times New Roman"/>
          <w:u w:val="single"/>
        </w:rPr>
        <w:t>mediatamente a disposición del  juez competente”.</w:t>
      </w:r>
      <w:r w:rsidR="00A219DC">
        <w:rPr>
          <w:rFonts w:ascii="Times New Roman" w:hAnsi="Times New Roman" w:cs="Times New Roman"/>
        </w:rPr>
        <w:t xml:space="preserve"> Como se desprende del Escrito de Argumento, Solicitudes y Pruebas (ESAP) de la representación de las víctimas, “al</w:t>
      </w:r>
      <w:r w:rsidR="00A219DC" w:rsidRPr="00A219DC">
        <w:rPr>
          <w:rFonts w:ascii="Times New Roman" w:hAnsi="Times New Roman" w:cs="Times New Roman"/>
        </w:rPr>
        <w:t xml:space="preserve"> momento en que se produ</w:t>
      </w:r>
      <w:r w:rsidR="00A219DC">
        <w:rPr>
          <w:rFonts w:ascii="Times New Roman" w:hAnsi="Times New Roman" w:cs="Times New Roman"/>
        </w:rPr>
        <w:t>jeron los hechos que afectaron al</w:t>
      </w:r>
      <w:r w:rsidR="00A219DC" w:rsidRPr="00A219DC">
        <w:rPr>
          <w:rFonts w:ascii="Times New Roman" w:hAnsi="Times New Roman" w:cs="Times New Roman"/>
        </w:rPr>
        <w:t xml:space="preserve"> señor Fernández Prieto no existía normativa que habili</w:t>
      </w:r>
      <w:r w:rsidR="00A219DC">
        <w:rPr>
          <w:rFonts w:ascii="Times New Roman" w:hAnsi="Times New Roman" w:cs="Times New Roman"/>
        </w:rPr>
        <w:t xml:space="preserve">tara expresamente a la Policía </w:t>
      </w:r>
      <w:r w:rsidR="00A219DC" w:rsidRPr="00A219DC">
        <w:rPr>
          <w:rFonts w:ascii="Times New Roman" w:hAnsi="Times New Roman" w:cs="Times New Roman"/>
        </w:rPr>
        <w:t>a realizar registros de personas o de automóviles sin orden</w:t>
      </w:r>
      <w:r w:rsidR="00A219DC">
        <w:rPr>
          <w:rFonts w:ascii="Times New Roman" w:hAnsi="Times New Roman" w:cs="Times New Roman"/>
        </w:rPr>
        <w:t xml:space="preserve"> judicial. Por lo general, los Tribunales</w:t>
      </w:r>
      <w:r w:rsidR="00A219DC" w:rsidRPr="00A219DC">
        <w:rPr>
          <w:rFonts w:ascii="Times New Roman" w:hAnsi="Times New Roman" w:cs="Times New Roman"/>
        </w:rPr>
        <w:t xml:space="preserve"> sostenían que era posible efectuar una requi</w:t>
      </w:r>
      <w:r w:rsidR="00A219DC">
        <w:rPr>
          <w:rFonts w:ascii="Times New Roman" w:hAnsi="Times New Roman" w:cs="Times New Roman"/>
        </w:rPr>
        <w:t xml:space="preserve">sa personal sin orden judicial </w:t>
      </w:r>
      <w:r w:rsidR="00A219DC" w:rsidRPr="00A219DC">
        <w:rPr>
          <w:rFonts w:ascii="Times New Roman" w:hAnsi="Times New Roman" w:cs="Times New Roman"/>
        </w:rPr>
        <w:t>en casos excepcionales</w:t>
      </w:r>
      <w:r w:rsidR="00A219DC">
        <w:rPr>
          <w:rFonts w:ascii="Times New Roman" w:hAnsi="Times New Roman" w:cs="Times New Roman"/>
        </w:rPr>
        <w:t>.”</w:t>
      </w:r>
      <w:r w:rsidR="00A219DC">
        <w:rPr>
          <w:rStyle w:val="Refdenotaalpie"/>
          <w:rFonts w:ascii="Times New Roman" w:hAnsi="Times New Roman" w:cs="Times New Roman"/>
        </w:rPr>
        <w:footnoteReference w:id="21"/>
      </w:r>
    </w:p>
    <w:p w:rsidR="005A4855" w:rsidRDefault="00FE02F4" w:rsidP="00FE02F4">
      <w:pPr>
        <w:jc w:val="both"/>
        <w:rPr>
          <w:rFonts w:ascii="Times New Roman" w:hAnsi="Times New Roman" w:cs="Times New Roman"/>
        </w:rPr>
      </w:pPr>
      <w:r>
        <w:rPr>
          <w:rFonts w:ascii="Times New Roman" w:hAnsi="Times New Roman" w:cs="Times New Roman"/>
        </w:rPr>
        <w:t xml:space="preserve">Frente a la detención del señor Tumbeiro, para el momento que tuvieron lugar los hechos, se había realizado una reforma al artículo 284 del Código </w:t>
      </w:r>
      <w:r w:rsidRPr="00FE02F4">
        <w:rPr>
          <w:rFonts w:ascii="Times New Roman" w:hAnsi="Times New Roman" w:cs="Times New Roman"/>
        </w:rPr>
        <w:t>Procesal Penal de la Nación –</w:t>
      </w:r>
      <w:r w:rsidR="00594774">
        <w:rPr>
          <w:rFonts w:ascii="Times New Roman" w:hAnsi="Times New Roman" w:cs="Times New Roman"/>
        </w:rPr>
        <w:t>Ley Nº 23.984</w:t>
      </w:r>
      <w:r>
        <w:rPr>
          <w:rFonts w:ascii="Times New Roman" w:hAnsi="Times New Roman" w:cs="Times New Roman"/>
        </w:rPr>
        <w:t xml:space="preserve"> (CPPN</w:t>
      </w:r>
      <w:r w:rsidRPr="00FE02F4">
        <w:rPr>
          <w:rFonts w:ascii="Times New Roman" w:hAnsi="Times New Roman" w:cs="Times New Roman"/>
        </w:rPr>
        <w:t>)</w:t>
      </w:r>
      <w:r>
        <w:rPr>
          <w:rFonts w:ascii="Times New Roman" w:hAnsi="Times New Roman" w:cs="Times New Roman"/>
        </w:rPr>
        <w:t xml:space="preserve"> el cual </w:t>
      </w:r>
      <w:r w:rsidRPr="00FE02F4">
        <w:rPr>
          <w:rFonts w:ascii="Times New Roman" w:hAnsi="Times New Roman" w:cs="Times New Roman"/>
        </w:rPr>
        <w:t>establecía que:</w:t>
      </w:r>
    </w:p>
    <w:p w:rsidR="00FE02F4" w:rsidRPr="00121178" w:rsidRDefault="00FE02F4" w:rsidP="00121178">
      <w:pPr>
        <w:ind w:left="567" w:right="567"/>
        <w:jc w:val="both"/>
        <w:rPr>
          <w:rFonts w:ascii="Times New Roman" w:hAnsi="Times New Roman" w:cs="Times New Roman"/>
          <w:sz w:val="20"/>
          <w:szCs w:val="20"/>
        </w:rPr>
      </w:pPr>
      <w:r w:rsidRPr="00121178">
        <w:rPr>
          <w:rFonts w:ascii="Times New Roman" w:hAnsi="Times New Roman" w:cs="Times New Roman"/>
          <w:sz w:val="20"/>
          <w:szCs w:val="20"/>
        </w:rPr>
        <w:t xml:space="preserve">“Los funcionarios y auxiliares de la policía tienen el </w:t>
      </w:r>
      <w:r w:rsidR="00121178" w:rsidRPr="00121178">
        <w:rPr>
          <w:rFonts w:ascii="Times New Roman" w:hAnsi="Times New Roman" w:cs="Times New Roman"/>
          <w:sz w:val="20"/>
          <w:szCs w:val="20"/>
        </w:rPr>
        <w:t>deber de</w:t>
      </w:r>
      <w:r w:rsidRPr="00121178">
        <w:rPr>
          <w:rFonts w:ascii="Times New Roman" w:hAnsi="Times New Roman" w:cs="Times New Roman"/>
          <w:sz w:val="20"/>
          <w:szCs w:val="20"/>
        </w:rPr>
        <w:t xml:space="preserve"> detener, aún sin orden judicial: </w:t>
      </w:r>
    </w:p>
    <w:p w:rsidR="00FE02F4" w:rsidRPr="00121178" w:rsidRDefault="00FE02F4" w:rsidP="00121178">
      <w:pPr>
        <w:ind w:left="567" w:right="567"/>
        <w:jc w:val="both"/>
        <w:rPr>
          <w:rFonts w:ascii="Times New Roman" w:hAnsi="Times New Roman" w:cs="Times New Roman"/>
          <w:sz w:val="20"/>
          <w:szCs w:val="20"/>
        </w:rPr>
      </w:pPr>
      <w:r w:rsidRPr="00121178">
        <w:rPr>
          <w:rFonts w:ascii="Times New Roman" w:hAnsi="Times New Roman" w:cs="Times New Roman"/>
          <w:sz w:val="20"/>
          <w:szCs w:val="20"/>
        </w:rPr>
        <w:t>1°) Al que intentare un deli</w:t>
      </w:r>
      <w:r w:rsidR="00121178" w:rsidRPr="00121178">
        <w:rPr>
          <w:rFonts w:ascii="Times New Roman" w:hAnsi="Times New Roman" w:cs="Times New Roman"/>
          <w:sz w:val="20"/>
          <w:szCs w:val="20"/>
        </w:rPr>
        <w:t xml:space="preserve">to de acción pública reprimido </w:t>
      </w:r>
      <w:r w:rsidRPr="00121178">
        <w:rPr>
          <w:rFonts w:ascii="Times New Roman" w:hAnsi="Times New Roman" w:cs="Times New Roman"/>
          <w:sz w:val="20"/>
          <w:szCs w:val="20"/>
        </w:rPr>
        <w:t>con pena privativa</w:t>
      </w:r>
      <w:r w:rsidR="00121178" w:rsidRPr="00121178">
        <w:rPr>
          <w:rFonts w:ascii="Times New Roman" w:hAnsi="Times New Roman" w:cs="Times New Roman"/>
          <w:sz w:val="20"/>
          <w:szCs w:val="20"/>
        </w:rPr>
        <w:t xml:space="preserve"> de libertad, en el momento de </w:t>
      </w:r>
      <w:r w:rsidRPr="00121178">
        <w:rPr>
          <w:rFonts w:ascii="Times New Roman" w:hAnsi="Times New Roman" w:cs="Times New Roman"/>
          <w:sz w:val="20"/>
          <w:szCs w:val="20"/>
        </w:rPr>
        <w:t xml:space="preserve">disponerse a cometerlo. </w:t>
      </w:r>
    </w:p>
    <w:p w:rsidR="00FE02F4" w:rsidRPr="00121178" w:rsidRDefault="00FE02F4" w:rsidP="00121178">
      <w:pPr>
        <w:ind w:left="567" w:right="567"/>
        <w:jc w:val="both"/>
        <w:rPr>
          <w:rFonts w:ascii="Times New Roman" w:hAnsi="Times New Roman" w:cs="Times New Roman"/>
          <w:sz w:val="20"/>
          <w:szCs w:val="20"/>
        </w:rPr>
      </w:pPr>
      <w:r w:rsidRPr="00121178">
        <w:rPr>
          <w:rFonts w:ascii="Times New Roman" w:hAnsi="Times New Roman" w:cs="Times New Roman"/>
          <w:sz w:val="20"/>
          <w:szCs w:val="20"/>
        </w:rPr>
        <w:t xml:space="preserve">2°) Al que fugare, estando legalmente detenido. </w:t>
      </w:r>
    </w:p>
    <w:p w:rsidR="00121178" w:rsidRPr="001D68AB" w:rsidRDefault="00FE02F4" w:rsidP="001D68AB">
      <w:pPr>
        <w:ind w:left="567" w:right="567"/>
        <w:jc w:val="both"/>
        <w:rPr>
          <w:rFonts w:ascii="Times New Roman" w:hAnsi="Times New Roman" w:cs="Times New Roman"/>
          <w:sz w:val="20"/>
          <w:szCs w:val="20"/>
          <w:u w:val="single"/>
        </w:rPr>
      </w:pPr>
      <w:r w:rsidRPr="00121178">
        <w:rPr>
          <w:rFonts w:ascii="Times New Roman" w:hAnsi="Times New Roman" w:cs="Times New Roman"/>
          <w:sz w:val="20"/>
          <w:szCs w:val="20"/>
          <w:u w:val="single"/>
        </w:rPr>
        <w:t>3°) Excepcionalmen</w:t>
      </w:r>
      <w:r w:rsidR="00121178" w:rsidRPr="00121178">
        <w:rPr>
          <w:rFonts w:ascii="Times New Roman" w:hAnsi="Times New Roman" w:cs="Times New Roman"/>
          <w:sz w:val="20"/>
          <w:szCs w:val="20"/>
          <w:u w:val="single"/>
        </w:rPr>
        <w:t>te a la persona contra la cual hubiere</w:t>
      </w:r>
      <w:r w:rsidRPr="00121178">
        <w:rPr>
          <w:rFonts w:ascii="Times New Roman" w:hAnsi="Times New Roman" w:cs="Times New Roman"/>
          <w:sz w:val="20"/>
          <w:szCs w:val="20"/>
          <w:u w:val="single"/>
        </w:rPr>
        <w:t xml:space="preserve"> indicios veheme</w:t>
      </w:r>
      <w:r w:rsidR="00121178" w:rsidRPr="00121178">
        <w:rPr>
          <w:rFonts w:ascii="Times New Roman" w:hAnsi="Times New Roman" w:cs="Times New Roman"/>
          <w:sz w:val="20"/>
          <w:szCs w:val="20"/>
          <w:u w:val="single"/>
        </w:rPr>
        <w:t>ntes de culpabilidad, y exista peligro</w:t>
      </w:r>
      <w:r w:rsidRPr="00121178">
        <w:rPr>
          <w:rFonts w:ascii="Times New Roman" w:hAnsi="Times New Roman" w:cs="Times New Roman"/>
          <w:sz w:val="20"/>
          <w:szCs w:val="20"/>
          <w:u w:val="single"/>
        </w:rPr>
        <w:t xml:space="preserve"> inminente de fuga</w:t>
      </w:r>
      <w:r w:rsidR="00121178" w:rsidRPr="00121178">
        <w:rPr>
          <w:rFonts w:ascii="Times New Roman" w:hAnsi="Times New Roman" w:cs="Times New Roman"/>
          <w:sz w:val="20"/>
          <w:szCs w:val="20"/>
          <w:u w:val="single"/>
        </w:rPr>
        <w:t xml:space="preserve"> o de serio entorpecimiento de la</w:t>
      </w:r>
      <w:r w:rsidRPr="00121178">
        <w:rPr>
          <w:rFonts w:ascii="Times New Roman" w:hAnsi="Times New Roman" w:cs="Times New Roman"/>
          <w:sz w:val="20"/>
          <w:szCs w:val="20"/>
          <w:u w:val="single"/>
        </w:rPr>
        <w:t xml:space="preserve"> investigación y al solo efecto de cond</w:t>
      </w:r>
      <w:r w:rsidR="00121178" w:rsidRPr="00121178">
        <w:rPr>
          <w:rFonts w:ascii="Times New Roman" w:hAnsi="Times New Roman" w:cs="Times New Roman"/>
          <w:sz w:val="20"/>
          <w:szCs w:val="20"/>
          <w:u w:val="single"/>
        </w:rPr>
        <w:t>ucirlo ante el juez competente</w:t>
      </w:r>
      <w:r w:rsidRPr="00121178">
        <w:rPr>
          <w:rFonts w:ascii="Times New Roman" w:hAnsi="Times New Roman" w:cs="Times New Roman"/>
          <w:sz w:val="20"/>
          <w:szCs w:val="20"/>
          <w:u w:val="single"/>
        </w:rPr>
        <w:t xml:space="preserve"> de </w:t>
      </w:r>
      <w:r w:rsidR="00121178" w:rsidRPr="00121178">
        <w:rPr>
          <w:rFonts w:ascii="Times New Roman" w:hAnsi="Times New Roman" w:cs="Times New Roman"/>
          <w:sz w:val="20"/>
          <w:szCs w:val="20"/>
          <w:u w:val="single"/>
        </w:rPr>
        <w:t>inmediato para que resuelva su detención, y,</w:t>
      </w:r>
    </w:p>
    <w:p w:rsidR="00FE02F4" w:rsidRPr="00121178" w:rsidRDefault="00FE02F4" w:rsidP="00121178">
      <w:pPr>
        <w:ind w:left="567" w:right="567"/>
        <w:jc w:val="both"/>
        <w:rPr>
          <w:rFonts w:ascii="Times New Roman" w:hAnsi="Times New Roman" w:cs="Times New Roman"/>
          <w:sz w:val="20"/>
          <w:szCs w:val="20"/>
        </w:rPr>
      </w:pPr>
      <w:r w:rsidRPr="00121178">
        <w:rPr>
          <w:rFonts w:ascii="Times New Roman" w:hAnsi="Times New Roman" w:cs="Times New Roman"/>
          <w:sz w:val="20"/>
          <w:szCs w:val="20"/>
        </w:rPr>
        <w:t>4°) A quien sea sorprendid</w:t>
      </w:r>
      <w:r w:rsidR="00121178" w:rsidRPr="00121178">
        <w:rPr>
          <w:rFonts w:ascii="Times New Roman" w:hAnsi="Times New Roman" w:cs="Times New Roman"/>
          <w:sz w:val="20"/>
          <w:szCs w:val="20"/>
        </w:rPr>
        <w:t>o en flagrancia en la comisión de</w:t>
      </w:r>
      <w:r w:rsidRPr="00121178">
        <w:rPr>
          <w:rFonts w:ascii="Times New Roman" w:hAnsi="Times New Roman" w:cs="Times New Roman"/>
          <w:sz w:val="20"/>
          <w:szCs w:val="20"/>
        </w:rPr>
        <w:t xml:space="preserve"> un delito de acc</w:t>
      </w:r>
      <w:r w:rsidR="00121178" w:rsidRPr="00121178">
        <w:rPr>
          <w:rFonts w:ascii="Times New Roman" w:hAnsi="Times New Roman" w:cs="Times New Roman"/>
          <w:sz w:val="20"/>
          <w:szCs w:val="20"/>
        </w:rPr>
        <w:t>ión pública reprimido con pena privativa</w:t>
      </w:r>
      <w:r w:rsidRPr="00121178">
        <w:rPr>
          <w:rFonts w:ascii="Times New Roman" w:hAnsi="Times New Roman" w:cs="Times New Roman"/>
          <w:sz w:val="20"/>
          <w:szCs w:val="20"/>
        </w:rPr>
        <w:t xml:space="preserve"> de libertad.</w:t>
      </w:r>
      <w:r w:rsidR="00121178" w:rsidRPr="00121178">
        <w:rPr>
          <w:rFonts w:ascii="Times New Roman" w:hAnsi="Times New Roman" w:cs="Times New Roman"/>
          <w:sz w:val="20"/>
          <w:szCs w:val="20"/>
        </w:rPr>
        <w:t>”</w:t>
      </w:r>
      <w:r w:rsidRPr="00121178">
        <w:rPr>
          <w:rFonts w:ascii="Times New Roman" w:hAnsi="Times New Roman" w:cs="Times New Roman"/>
          <w:sz w:val="20"/>
          <w:szCs w:val="20"/>
        </w:rPr>
        <w:t xml:space="preserve"> </w:t>
      </w:r>
    </w:p>
    <w:p w:rsidR="00121178" w:rsidRDefault="00D8572C" w:rsidP="00FE02F4">
      <w:pPr>
        <w:jc w:val="both"/>
        <w:rPr>
          <w:rFonts w:ascii="Times New Roman" w:hAnsi="Times New Roman" w:cs="Times New Roman"/>
        </w:rPr>
      </w:pPr>
      <w:r>
        <w:rPr>
          <w:rFonts w:ascii="Times New Roman" w:hAnsi="Times New Roman" w:cs="Times New Roman"/>
        </w:rPr>
        <w:t>A la par de dicha normativa, la Ley nacional 23.950 complementó la facultad de la policía en materia de detenciones:</w:t>
      </w:r>
    </w:p>
    <w:p w:rsidR="00D8572C" w:rsidRPr="00785750" w:rsidRDefault="00FE02F4" w:rsidP="00D8572C">
      <w:pPr>
        <w:ind w:left="567" w:right="567"/>
        <w:jc w:val="both"/>
        <w:rPr>
          <w:rFonts w:ascii="Times New Roman" w:hAnsi="Times New Roman" w:cs="Times New Roman"/>
          <w:sz w:val="20"/>
          <w:szCs w:val="20"/>
        </w:rPr>
      </w:pPr>
      <w:r w:rsidRPr="00785750">
        <w:rPr>
          <w:rFonts w:ascii="Times New Roman" w:hAnsi="Times New Roman" w:cs="Times New Roman"/>
          <w:sz w:val="20"/>
          <w:szCs w:val="20"/>
        </w:rPr>
        <w:t>“Fuera de los caso</w:t>
      </w:r>
      <w:r w:rsidR="00D8572C" w:rsidRPr="00785750">
        <w:rPr>
          <w:rFonts w:ascii="Times New Roman" w:hAnsi="Times New Roman" w:cs="Times New Roman"/>
          <w:sz w:val="20"/>
          <w:szCs w:val="20"/>
        </w:rPr>
        <w:t xml:space="preserve">s establecidos en el Código de </w:t>
      </w:r>
      <w:r w:rsidRPr="00785750">
        <w:rPr>
          <w:rFonts w:ascii="Times New Roman" w:hAnsi="Times New Roman" w:cs="Times New Roman"/>
          <w:sz w:val="20"/>
          <w:szCs w:val="20"/>
        </w:rPr>
        <w:t>Procedimientos en Mater</w:t>
      </w:r>
      <w:r w:rsidR="00D8572C" w:rsidRPr="00785750">
        <w:rPr>
          <w:rFonts w:ascii="Times New Roman" w:hAnsi="Times New Roman" w:cs="Times New Roman"/>
          <w:sz w:val="20"/>
          <w:szCs w:val="20"/>
        </w:rPr>
        <w:t>ia Penal, no podrá detenerse a las</w:t>
      </w:r>
      <w:r w:rsidRPr="00785750">
        <w:rPr>
          <w:rFonts w:ascii="Times New Roman" w:hAnsi="Times New Roman" w:cs="Times New Roman"/>
          <w:sz w:val="20"/>
          <w:szCs w:val="20"/>
        </w:rPr>
        <w:t xml:space="preserve"> personas sin</w:t>
      </w:r>
      <w:r w:rsidR="00D8572C" w:rsidRPr="00785750">
        <w:rPr>
          <w:rFonts w:ascii="Times New Roman" w:hAnsi="Times New Roman" w:cs="Times New Roman"/>
          <w:sz w:val="20"/>
          <w:szCs w:val="20"/>
        </w:rPr>
        <w:t xml:space="preserve"> orden de juez competente. Sin embargo</w:t>
      </w:r>
      <w:r w:rsidRPr="00785750">
        <w:rPr>
          <w:rFonts w:ascii="Times New Roman" w:hAnsi="Times New Roman" w:cs="Times New Roman"/>
          <w:sz w:val="20"/>
          <w:szCs w:val="20"/>
        </w:rPr>
        <w:t xml:space="preserve">, si existiesen </w:t>
      </w:r>
      <w:r w:rsidRPr="00785750">
        <w:rPr>
          <w:rFonts w:ascii="Times New Roman" w:hAnsi="Times New Roman" w:cs="Times New Roman"/>
          <w:sz w:val="20"/>
          <w:szCs w:val="20"/>
        </w:rPr>
        <w:lastRenderedPageBreak/>
        <w:t>cir</w:t>
      </w:r>
      <w:r w:rsidR="00D8572C" w:rsidRPr="00785750">
        <w:rPr>
          <w:rFonts w:ascii="Times New Roman" w:hAnsi="Times New Roman" w:cs="Times New Roman"/>
          <w:sz w:val="20"/>
          <w:szCs w:val="20"/>
        </w:rPr>
        <w:t>cunstancias debidamente fundadas</w:t>
      </w:r>
      <w:r w:rsidRPr="00785750">
        <w:rPr>
          <w:rFonts w:ascii="Times New Roman" w:hAnsi="Times New Roman" w:cs="Times New Roman"/>
          <w:sz w:val="20"/>
          <w:szCs w:val="20"/>
        </w:rPr>
        <w:t xml:space="preserve"> que hagan presumir que alguien hubiese</w:t>
      </w:r>
      <w:r w:rsidR="00D8572C" w:rsidRPr="00785750">
        <w:rPr>
          <w:rFonts w:ascii="Times New Roman" w:hAnsi="Times New Roman" w:cs="Times New Roman"/>
          <w:sz w:val="20"/>
          <w:szCs w:val="20"/>
        </w:rPr>
        <w:t xml:space="preserve"> </w:t>
      </w:r>
      <w:r w:rsidRPr="00785750">
        <w:rPr>
          <w:rFonts w:ascii="Times New Roman" w:hAnsi="Times New Roman" w:cs="Times New Roman"/>
          <w:sz w:val="20"/>
          <w:szCs w:val="20"/>
        </w:rPr>
        <w:t>cometido o pudier</w:t>
      </w:r>
      <w:r w:rsidR="00D8572C" w:rsidRPr="00785750">
        <w:rPr>
          <w:rFonts w:ascii="Times New Roman" w:hAnsi="Times New Roman" w:cs="Times New Roman"/>
          <w:sz w:val="20"/>
          <w:szCs w:val="20"/>
        </w:rPr>
        <w:t xml:space="preserve">e cometer un hecho delictivo o </w:t>
      </w:r>
      <w:r w:rsidRPr="00785750">
        <w:rPr>
          <w:rFonts w:ascii="Times New Roman" w:hAnsi="Times New Roman" w:cs="Times New Roman"/>
          <w:sz w:val="20"/>
          <w:szCs w:val="20"/>
        </w:rPr>
        <w:t>contravencional y no</w:t>
      </w:r>
      <w:r w:rsidR="00D8572C" w:rsidRPr="00785750">
        <w:rPr>
          <w:rFonts w:ascii="Times New Roman" w:hAnsi="Times New Roman" w:cs="Times New Roman"/>
          <w:sz w:val="20"/>
          <w:szCs w:val="20"/>
        </w:rPr>
        <w:t xml:space="preserve"> acreditase fehacientemente su identidad</w:t>
      </w:r>
      <w:r w:rsidRPr="00785750">
        <w:rPr>
          <w:rFonts w:ascii="Times New Roman" w:hAnsi="Times New Roman" w:cs="Times New Roman"/>
          <w:sz w:val="20"/>
          <w:szCs w:val="20"/>
        </w:rPr>
        <w:t>, podrá ser condu</w:t>
      </w:r>
      <w:r w:rsidR="00D8572C" w:rsidRPr="00785750">
        <w:rPr>
          <w:rFonts w:ascii="Times New Roman" w:hAnsi="Times New Roman" w:cs="Times New Roman"/>
          <w:sz w:val="20"/>
          <w:szCs w:val="20"/>
        </w:rPr>
        <w:t>cido a la dependencia policial que</w:t>
      </w:r>
      <w:r w:rsidRPr="00785750">
        <w:rPr>
          <w:rFonts w:ascii="Times New Roman" w:hAnsi="Times New Roman" w:cs="Times New Roman"/>
          <w:sz w:val="20"/>
          <w:szCs w:val="20"/>
        </w:rPr>
        <w:t xml:space="preserve"> correspondiese, con n</w:t>
      </w:r>
      <w:r w:rsidR="00D8572C" w:rsidRPr="00785750">
        <w:rPr>
          <w:rFonts w:ascii="Times New Roman" w:hAnsi="Times New Roman" w:cs="Times New Roman"/>
          <w:sz w:val="20"/>
          <w:szCs w:val="20"/>
        </w:rPr>
        <w:t>oticia al juez con competencia en</w:t>
      </w:r>
      <w:r w:rsidRPr="00785750">
        <w:rPr>
          <w:rFonts w:ascii="Times New Roman" w:hAnsi="Times New Roman" w:cs="Times New Roman"/>
          <w:sz w:val="20"/>
          <w:szCs w:val="20"/>
        </w:rPr>
        <w:t xml:space="preserve"> lo correccional en </w:t>
      </w:r>
      <w:r w:rsidR="00D8572C" w:rsidRPr="00785750">
        <w:rPr>
          <w:rFonts w:ascii="Times New Roman" w:hAnsi="Times New Roman" w:cs="Times New Roman"/>
          <w:sz w:val="20"/>
          <w:szCs w:val="20"/>
        </w:rPr>
        <w:t>turno y demorada por el tiempo mínimo</w:t>
      </w:r>
      <w:r w:rsidRPr="00785750">
        <w:rPr>
          <w:rFonts w:ascii="Times New Roman" w:hAnsi="Times New Roman" w:cs="Times New Roman"/>
          <w:sz w:val="20"/>
          <w:szCs w:val="20"/>
        </w:rPr>
        <w:t xml:space="preserve"> necesario para e</w:t>
      </w:r>
      <w:r w:rsidR="00D8572C" w:rsidRPr="00785750">
        <w:rPr>
          <w:rFonts w:ascii="Times New Roman" w:hAnsi="Times New Roman" w:cs="Times New Roman"/>
          <w:sz w:val="20"/>
          <w:szCs w:val="20"/>
        </w:rPr>
        <w:t xml:space="preserve">stablecer su identidad, el que </w:t>
      </w:r>
      <w:r w:rsidRPr="00785750">
        <w:rPr>
          <w:rFonts w:ascii="Times New Roman" w:hAnsi="Times New Roman" w:cs="Times New Roman"/>
          <w:sz w:val="20"/>
          <w:szCs w:val="20"/>
        </w:rPr>
        <w:t>en ningún caso podr</w:t>
      </w:r>
      <w:r w:rsidR="00D8572C" w:rsidRPr="00785750">
        <w:rPr>
          <w:rFonts w:ascii="Times New Roman" w:hAnsi="Times New Roman" w:cs="Times New Roman"/>
          <w:sz w:val="20"/>
          <w:szCs w:val="20"/>
        </w:rPr>
        <w:t xml:space="preserve">á exceder de diez horas. Se le </w:t>
      </w:r>
      <w:r w:rsidRPr="00785750">
        <w:rPr>
          <w:rFonts w:ascii="Times New Roman" w:hAnsi="Times New Roman" w:cs="Times New Roman"/>
          <w:sz w:val="20"/>
          <w:szCs w:val="20"/>
        </w:rPr>
        <w:t>permitirá comunicar</w:t>
      </w:r>
      <w:r w:rsidR="00D8572C" w:rsidRPr="00785750">
        <w:rPr>
          <w:rFonts w:ascii="Times New Roman" w:hAnsi="Times New Roman" w:cs="Times New Roman"/>
          <w:sz w:val="20"/>
          <w:szCs w:val="20"/>
        </w:rPr>
        <w:t>se en forma inmediata o con un familiar</w:t>
      </w:r>
      <w:r w:rsidRPr="00785750">
        <w:rPr>
          <w:rFonts w:ascii="Times New Roman" w:hAnsi="Times New Roman" w:cs="Times New Roman"/>
          <w:sz w:val="20"/>
          <w:szCs w:val="20"/>
        </w:rPr>
        <w:t xml:space="preserve"> o persona de su </w:t>
      </w:r>
      <w:r w:rsidR="00D8572C" w:rsidRPr="00785750">
        <w:rPr>
          <w:rFonts w:ascii="Times New Roman" w:hAnsi="Times New Roman" w:cs="Times New Roman"/>
          <w:sz w:val="20"/>
          <w:szCs w:val="20"/>
        </w:rPr>
        <w:t>confianza a fin de informar de su</w:t>
      </w:r>
      <w:r w:rsidRPr="00785750">
        <w:rPr>
          <w:rFonts w:ascii="Times New Roman" w:hAnsi="Times New Roman" w:cs="Times New Roman"/>
          <w:sz w:val="20"/>
          <w:szCs w:val="20"/>
        </w:rPr>
        <w:t xml:space="preserve"> situación. </w:t>
      </w:r>
    </w:p>
    <w:p w:rsidR="00FE02F4" w:rsidRPr="00785750" w:rsidRDefault="00D8572C" w:rsidP="00D8572C">
      <w:pPr>
        <w:ind w:left="567" w:right="567"/>
        <w:jc w:val="both"/>
        <w:rPr>
          <w:rFonts w:ascii="Times New Roman" w:hAnsi="Times New Roman" w:cs="Times New Roman"/>
          <w:sz w:val="20"/>
          <w:szCs w:val="20"/>
        </w:rPr>
      </w:pPr>
      <w:r w:rsidRPr="00785750">
        <w:rPr>
          <w:rFonts w:ascii="Times New Roman" w:hAnsi="Times New Roman" w:cs="Times New Roman"/>
          <w:sz w:val="20"/>
          <w:szCs w:val="20"/>
        </w:rPr>
        <w:t>Las personas demoradas para su identificación</w:t>
      </w:r>
      <w:r w:rsidR="00FE02F4" w:rsidRPr="00785750">
        <w:rPr>
          <w:rFonts w:ascii="Times New Roman" w:hAnsi="Times New Roman" w:cs="Times New Roman"/>
          <w:sz w:val="20"/>
          <w:szCs w:val="20"/>
        </w:rPr>
        <w:t xml:space="preserve"> no podrá</w:t>
      </w:r>
      <w:r w:rsidRPr="00785750">
        <w:rPr>
          <w:rFonts w:ascii="Times New Roman" w:hAnsi="Times New Roman" w:cs="Times New Roman"/>
          <w:sz w:val="20"/>
          <w:szCs w:val="20"/>
        </w:rPr>
        <w:t xml:space="preserve">n ser alojadas junto ni en los </w:t>
      </w:r>
      <w:r w:rsidR="00FE02F4" w:rsidRPr="00785750">
        <w:rPr>
          <w:rFonts w:ascii="Times New Roman" w:hAnsi="Times New Roman" w:cs="Times New Roman"/>
          <w:sz w:val="20"/>
          <w:szCs w:val="20"/>
        </w:rPr>
        <w:t>lugares destinados</w:t>
      </w:r>
      <w:r w:rsidRPr="00785750">
        <w:rPr>
          <w:rFonts w:ascii="Times New Roman" w:hAnsi="Times New Roman" w:cs="Times New Roman"/>
          <w:sz w:val="20"/>
          <w:szCs w:val="20"/>
        </w:rPr>
        <w:t xml:space="preserve"> a los detenidos por delitos o contravenciones”.</w:t>
      </w:r>
    </w:p>
    <w:p w:rsidR="00FE02F4" w:rsidRDefault="00034B32" w:rsidP="00FE02F4">
      <w:pPr>
        <w:jc w:val="both"/>
        <w:rPr>
          <w:rFonts w:ascii="Times New Roman" w:hAnsi="Times New Roman" w:cs="Times New Roman"/>
        </w:rPr>
      </w:pPr>
      <w:r>
        <w:rPr>
          <w:rFonts w:ascii="Times New Roman" w:hAnsi="Times New Roman" w:cs="Times New Roman"/>
        </w:rPr>
        <w:t>De igual forma el CPPN contemplaba en su art</w:t>
      </w:r>
      <w:r w:rsidR="00785750">
        <w:rPr>
          <w:rFonts w:ascii="Times New Roman" w:hAnsi="Times New Roman" w:cs="Times New Roman"/>
        </w:rPr>
        <w:t>ículo 184 inciso 5</w:t>
      </w:r>
      <w:r>
        <w:rPr>
          <w:rFonts w:ascii="Times New Roman" w:hAnsi="Times New Roman" w:cs="Times New Roman"/>
        </w:rPr>
        <w:t xml:space="preserve">, respecto a los registros </w:t>
      </w:r>
      <w:r w:rsidR="00785750">
        <w:rPr>
          <w:rFonts w:ascii="Times New Roman" w:hAnsi="Times New Roman" w:cs="Times New Roman"/>
        </w:rPr>
        <w:t>personal sin orden judicial que</w:t>
      </w:r>
      <w:r>
        <w:rPr>
          <w:rFonts w:ascii="Times New Roman" w:hAnsi="Times New Roman" w:cs="Times New Roman"/>
        </w:rPr>
        <w:t>:</w:t>
      </w:r>
      <w:r w:rsidR="00785750">
        <w:rPr>
          <w:rFonts w:ascii="Times New Roman" w:hAnsi="Times New Roman" w:cs="Times New Roman"/>
        </w:rPr>
        <w:t xml:space="preserve"> “l</w:t>
      </w:r>
      <w:r w:rsidR="00FE02F4" w:rsidRPr="00FE02F4">
        <w:rPr>
          <w:rFonts w:ascii="Times New Roman" w:hAnsi="Times New Roman" w:cs="Times New Roman"/>
        </w:rPr>
        <w:t xml:space="preserve">os funcionarios de </w:t>
      </w:r>
      <w:r w:rsidR="00785750">
        <w:rPr>
          <w:rFonts w:ascii="Times New Roman" w:hAnsi="Times New Roman" w:cs="Times New Roman"/>
        </w:rPr>
        <w:t>la policía o de las fuerzas de seguridad</w:t>
      </w:r>
      <w:r w:rsidR="00FE02F4" w:rsidRPr="00FE02F4">
        <w:rPr>
          <w:rFonts w:ascii="Times New Roman" w:hAnsi="Times New Roman" w:cs="Times New Roman"/>
        </w:rPr>
        <w:t xml:space="preserve"> tendrán las siguientes atribuciones: </w:t>
      </w:r>
      <w:r w:rsidR="00785750" w:rsidRPr="00FE02F4">
        <w:rPr>
          <w:rFonts w:ascii="Times New Roman" w:hAnsi="Times New Roman" w:cs="Times New Roman"/>
        </w:rPr>
        <w:t>[…</w:t>
      </w:r>
      <w:r w:rsidR="00785750">
        <w:rPr>
          <w:rFonts w:ascii="Times New Roman" w:hAnsi="Times New Roman" w:cs="Times New Roman"/>
        </w:rPr>
        <w:t xml:space="preserve">] </w:t>
      </w:r>
      <w:r w:rsidR="00FE02F4" w:rsidRPr="00FE02F4">
        <w:rPr>
          <w:rFonts w:ascii="Times New Roman" w:hAnsi="Times New Roman" w:cs="Times New Roman"/>
        </w:rPr>
        <w:t xml:space="preserve">5°) Disponer los allanamientos del artículo 227 y </w:t>
      </w:r>
      <w:r w:rsidR="00785750" w:rsidRPr="00FE02F4">
        <w:rPr>
          <w:rFonts w:ascii="Times New Roman" w:hAnsi="Times New Roman" w:cs="Times New Roman"/>
        </w:rPr>
        <w:t xml:space="preserve">las </w:t>
      </w:r>
      <w:r w:rsidR="00785750">
        <w:rPr>
          <w:rFonts w:ascii="Times New Roman" w:hAnsi="Times New Roman" w:cs="Times New Roman"/>
        </w:rPr>
        <w:t>requisas</w:t>
      </w:r>
      <w:r w:rsidR="00FE02F4" w:rsidRPr="00FE02F4">
        <w:rPr>
          <w:rFonts w:ascii="Times New Roman" w:hAnsi="Times New Roman" w:cs="Times New Roman"/>
        </w:rPr>
        <w:t xml:space="preserve"> urgentes con </w:t>
      </w:r>
      <w:r w:rsidR="00785750">
        <w:rPr>
          <w:rFonts w:ascii="Times New Roman" w:hAnsi="Times New Roman" w:cs="Times New Roman"/>
        </w:rPr>
        <w:t>arreglo al artículo 230, dando inmediato</w:t>
      </w:r>
      <w:r w:rsidR="00FE02F4" w:rsidRPr="00FE02F4">
        <w:rPr>
          <w:rFonts w:ascii="Times New Roman" w:hAnsi="Times New Roman" w:cs="Times New Roman"/>
        </w:rPr>
        <w:t xml:space="preserve"> aviso a</w:t>
      </w:r>
      <w:r w:rsidR="00785750">
        <w:rPr>
          <w:rFonts w:ascii="Times New Roman" w:hAnsi="Times New Roman" w:cs="Times New Roman"/>
        </w:rPr>
        <w:t>l órgano judicial competente”.</w:t>
      </w:r>
    </w:p>
    <w:p w:rsidR="00FE02F4" w:rsidRPr="00FE02F4" w:rsidRDefault="00785750" w:rsidP="00FE02F4">
      <w:pPr>
        <w:jc w:val="both"/>
        <w:rPr>
          <w:rFonts w:ascii="Times New Roman" w:hAnsi="Times New Roman" w:cs="Times New Roman"/>
        </w:rPr>
      </w:pPr>
      <w:r>
        <w:rPr>
          <w:rFonts w:ascii="Times New Roman" w:hAnsi="Times New Roman" w:cs="Times New Roman"/>
        </w:rPr>
        <w:t>Esta práctica se mantuvo con posterioridad e incluso</w:t>
      </w:r>
      <w:r w:rsidR="00AC5CD6">
        <w:rPr>
          <w:rFonts w:ascii="Times New Roman" w:hAnsi="Times New Roman" w:cs="Times New Roman"/>
        </w:rPr>
        <w:t>,</w:t>
      </w:r>
      <w:r>
        <w:rPr>
          <w:rFonts w:ascii="Times New Roman" w:hAnsi="Times New Roman" w:cs="Times New Roman"/>
        </w:rPr>
        <w:t xml:space="preserve"> le dio más facultades a la policía para llevar acabo requisas a personas y automóviles. En 2001, se promulgó la Ley N° 25.434, la cual </w:t>
      </w:r>
      <w:r w:rsidR="00FE02F4" w:rsidRPr="00FE02F4">
        <w:rPr>
          <w:rFonts w:ascii="Times New Roman" w:hAnsi="Times New Roman" w:cs="Times New Roman"/>
        </w:rPr>
        <w:t>incorporó el artículo 230 bis al Código Pr</w:t>
      </w:r>
      <w:r>
        <w:rPr>
          <w:rFonts w:ascii="Times New Roman" w:hAnsi="Times New Roman" w:cs="Times New Roman"/>
        </w:rPr>
        <w:t xml:space="preserve">ocesal Penal de la Nación, que </w:t>
      </w:r>
      <w:r w:rsidR="00FE02F4" w:rsidRPr="00FE02F4">
        <w:rPr>
          <w:rFonts w:ascii="Times New Roman" w:hAnsi="Times New Roman" w:cs="Times New Roman"/>
        </w:rPr>
        <w:t xml:space="preserve">actualmente dispone: </w:t>
      </w:r>
    </w:p>
    <w:p w:rsidR="00785750" w:rsidRPr="00785750" w:rsidRDefault="00FE02F4" w:rsidP="00785750">
      <w:pPr>
        <w:ind w:left="567" w:right="567"/>
        <w:jc w:val="both"/>
        <w:rPr>
          <w:rFonts w:ascii="Times New Roman" w:hAnsi="Times New Roman" w:cs="Times New Roman"/>
          <w:sz w:val="20"/>
          <w:szCs w:val="20"/>
        </w:rPr>
      </w:pPr>
      <w:r w:rsidRPr="00785750">
        <w:rPr>
          <w:rFonts w:ascii="Times New Roman" w:hAnsi="Times New Roman" w:cs="Times New Roman"/>
          <w:sz w:val="20"/>
          <w:szCs w:val="20"/>
        </w:rPr>
        <w:t>“Los funcionarios de la poli</w:t>
      </w:r>
      <w:r w:rsidR="00785750" w:rsidRPr="00785750">
        <w:rPr>
          <w:rFonts w:ascii="Times New Roman" w:hAnsi="Times New Roman" w:cs="Times New Roman"/>
          <w:sz w:val="20"/>
          <w:szCs w:val="20"/>
        </w:rPr>
        <w:t>cía y fuerza de seguridad, sin orden</w:t>
      </w:r>
      <w:r w:rsidRPr="00785750">
        <w:rPr>
          <w:rFonts w:ascii="Times New Roman" w:hAnsi="Times New Roman" w:cs="Times New Roman"/>
          <w:sz w:val="20"/>
          <w:szCs w:val="20"/>
        </w:rPr>
        <w:t xml:space="preserve"> judicial, po</w:t>
      </w:r>
      <w:r w:rsidR="00785750" w:rsidRPr="00785750">
        <w:rPr>
          <w:rFonts w:ascii="Times New Roman" w:hAnsi="Times New Roman" w:cs="Times New Roman"/>
          <w:sz w:val="20"/>
          <w:szCs w:val="20"/>
        </w:rPr>
        <w:t xml:space="preserve">drán requisar a las personas e </w:t>
      </w:r>
      <w:r w:rsidRPr="00785750">
        <w:rPr>
          <w:rFonts w:ascii="Times New Roman" w:hAnsi="Times New Roman" w:cs="Times New Roman"/>
          <w:sz w:val="20"/>
          <w:szCs w:val="20"/>
        </w:rPr>
        <w:t xml:space="preserve">inspeccionar los efectos </w:t>
      </w:r>
      <w:r w:rsidR="00785750" w:rsidRPr="00785750">
        <w:rPr>
          <w:rFonts w:ascii="Times New Roman" w:hAnsi="Times New Roman" w:cs="Times New Roman"/>
          <w:sz w:val="20"/>
          <w:szCs w:val="20"/>
        </w:rPr>
        <w:t xml:space="preserve">personales que lleven consigo, </w:t>
      </w:r>
      <w:r w:rsidRPr="00785750">
        <w:rPr>
          <w:rFonts w:ascii="Times New Roman" w:hAnsi="Times New Roman" w:cs="Times New Roman"/>
          <w:sz w:val="20"/>
          <w:szCs w:val="20"/>
        </w:rPr>
        <w:t>así como el interior de los vehículos, aeronaves y</w:t>
      </w:r>
      <w:r w:rsidR="00785750" w:rsidRPr="00785750">
        <w:rPr>
          <w:rFonts w:ascii="Times New Roman" w:hAnsi="Times New Roman" w:cs="Times New Roman"/>
          <w:sz w:val="20"/>
          <w:szCs w:val="20"/>
        </w:rPr>
        <w:t xml:space="preserve"> buques, de cualquier clase, con la finalidad de hallar la  existencia de cosas probablemente provenientes o  constitutivas de un delito o de elementos que pudieran  ser utilizados para la comisión de un hecho delictivo de  acuerdo a las circunstancias particulares de su hallazgo  siempre que sean realizadas: </w:t>
      </w:r>
    </w:p>
    <w:p w:rsidR="003D64E3" w:rsidRDefault="00785750" w:rsidP="003D64E3">
      <w:pPr>
        <w:ind w:left="567" w:right="567"/>
        <w:jc w:val="both"/>
        <w:rPr>
          <w:rFonts w:ascii="Times New Roman" w:hAnsi="Times New Roman" w:cs="Times New Roman"/>
          <w:sz w:val="20"/>
          <w:szCs w:val="20"/>
        </w:rPr>
      </w:pPr>
      <w:r w:rsidRPr="00785750">
        <w:rPr>
          <w:rFonts w:ascii="Times New Roman" w:hAnsi="Times New Roman" w:cs="Times New Roman"/>
          <w:sz w:val="20"/>
          <w:szCs w:val="20"/>
        </w:rPr>
        <w:t xml:space="preserve">a) con la concurrencia de circunstancias previas o concomitantes que razonable y objetivamente permitan justificar dichas medidas </w:t>
      </w:r>
      <w:r w:rsidR="00AC5CD6">
        <w:rPr>
          <w:rFonts w:ascii="Times New Roman" w:hAnsi="Times New Roman" w:cs="Times New Roman"/>
          <w:sz w:val="20"/>
          <w:szCs w:val="20"/>
        </w:rPr>
        <w:t xml:space="preserve">respecto de persona o vehículo </w:t>
      </w:r>
      <w:r w:rsidRPr="00785750">
        <w:rPr>
          <w:rFonts w:ascii="Times New Roman" w:hAnsi="Times New Roman" w:cs="Times New Roman"/>
          <w:sz w:val="20"/>
          <w:szCs w:val="20"/>
        </w:rPr>
        <w:t xml:space="preserve">determinado; y, </w:t>
      </w:r>
    </w:p>
    <w:p w:rsidR="00785750" w:rsidRPr="003D64E3" w:rsidRDefault="00785750" w:rsidP="003D64E3">
      <w:pPr>
        <w:ind w:left="567" w:right="567"/>
        <w:jc w:val="both"/>
        <w:rPr>
          <w:rFonts w:ascii="Times New Roman" w:hAnsi="Times New Roman" w:cs="Times New Roman"/>
          <w:sz w:val="20"/>
          <w:szCs w:val="20"/>
        </w:rPr>
      </w:pPr>
      <w:r w:rsidRPr="003A563A">
        <w:rPr>
          <w:rFonts w:ascii="Times New Roman" w:hAnsi="Times New Roman" w:cs="Times New Roman"/>
          <w:sz w:val="20"/>
          <w:szCs w:val="20"/>
          <w:u w:val="single"/>
        </w:rPr>
        <w:t xml:space="preserve">b) en la vía pública o en lugares de acceso público. </w:t>
      </w:r>
    </w:p>
    <w:p w:rsidR="008B52D4" w:rsidRPr="001D68AB" w:rsidRDefault="00785750" w:rsidP="001D68AB">
      <w:pPr>
        <w:ind w:left="567" w:right="567"/>
        <w:jc w:val="both"/>
        <w:rPr>
          <w:rFonts w:ascii="Times New Roman" w:hAnsi="Times New Roman" w:cs="Times New Roman"/>
          <w:sz w:val="20"/>
          <w:szCs w:val="20"/>
          <w:u w:val="single"/>
        </w:rPr>
      </w:pPr>
      <w:r w:rsidRPr="003A563A">
        <w:rPr>
          <w:rFonts w:ascii="Times New Roman" w:hAnsi="Times New Roman" w:cs="Times New Roman"/>
          <w:sz w:val="20"/>
          <w:szCs w:val="20"/>
          <w:u w:val="single"/>
        </w:rPr>
        <w:t>La requisa o inspección se llevará a cabo, de acuerdo a lo establecido por el 2° y 3er. párrafo del artículo 230, se practicarán los secuestros del artículo 231, y se labrará acta conforme lo dispuesto por los artículos 138 y 139, debiendo comunicar la medida inmediatamente al juez para que disponga lo que corresponda en consecuencia.  Tratándose de un operativo público de prevención podrán proceder a la inspección de vehículos.”</w:t>
      </w:r>
    </w:p>
    <w:p w:rsidR="008A6303" w:rsidRDefault="00AC5CD6" w:rsidP="00AC5CD6">
      <w:pPr>
        <w:pStyle w:val="Prrafodelista"/>
        <w:ind w:left="0"/>
        <w:jc w:val="both"/>
        <w:rPr>
          <w:rFonts w:ascii="Times New Roman" w:hAnsi="Times New Roman" w:cs="Times New Roman"/>
        </w:rPr>
      </w:pPr>
      <w:r w:rsidRPr="00AC5CD6">
        <w:rPr>
          <w:rFonts w:ascii="Times New Roman" w:hAnsi="Times New Roman" w:cs="Times New Roman"/>
        </w:rPr>
        <w:t>Bajo el enfoque punitivo de la Ley 23.737 y la amplitud de las facultades discrecionales contenida en los códigos procesales penales para detener personas y revisar veh</w:t>
      </w:r>
      <w:r>
        <w:rPr>
          <w:rFonts w:ascii="Times New Roman" w:hAnsi="Times New Roman" w:cs="Times New Roman"/>
        </w:rPr>
        <w:t xml:space="preserve">ículos sin orden judicial y la jurisprudencia de la CSJN, en Argentina </w:t>
      </w:r>
      <w:r w:rsidR="008A6303">
        <w:rPr>
          <w:rFonts w:ascii="Times New Roman" w:hAnsi="Times New Roman" w:cs="Times New Roman"/>
        </w:rPr>
        <w:t>se facilitó la existencia de</w:t>
      </w:r>
      <w:r>
        <w:rPr>
          <w:rFonts w:ascii="Times New Roman" w:hAnsi="Times New Roman" w:cs="Times New Roman"/>
        </w:rPr>
        <w:t xml:space="preserve"> un patrón de detenciones arbitrarias por delitos de drogas, donde se insertan los casos del señor </w:t>
      </w:r>
      <w:r w:rsidRPr="00CE70D0">
        <w:rPr>
          <w:rFonts w:ascii="Times New Roman" w:hAnsi="Times New Roman" w:cs="Times New Roman"/>
          <w:i/>
        </w:rPr>
        <w:t>Fernández Prieto</w:t>
      </w:r>
      <w:r>
        <w:rPr>
          <w:rFonts w:ascii="Times New Roman" w:hAnsi="Times New Roman" w:cs="Times New Roman"/>
        </w:rPr>
        <w:t xml:space="preserve"> y el señor </w:t>
      </w:r>
      <w:r w:rsidRPr="00CE70D0">
        <w:rPr>
          <w:rFonts w:ascii="Times New Roman" w:hAnsi="Times New Roman" w:cs="Times New Roman"/>
          <w:i/>
        </w:rPr>
        <w:t>Tumbeiro.</w:t>
      </w:r>
      <w:r w:rsidR="00E630F6">
        <w:rPr>
          <w:rFonts w:ascii="Times New Roman" w:hAnsi="Times New Roman" w:cs="Times New Roman"/>
        </w:rPr>
        <w:t xml:space="preserve"> </w:t>
      </w:r>
    </w:p>
    <w:p w:rsidR="008A6303" w:rsidRPr="008A6303" w:rsidRDefault="008A6303" w:rsidP="008A6303">
      <w:pPr>
        <w:pStyle w:val="Sinespaciado"/>
        <w:numPr>
          <w:ilvl w:val="0"/>
          <w:numId w:val="17"/>
        </w:numPr>
        <w:rPr>
          <w:rFonts w:ascii="Times New Roman" w:hAnsi="Times New Roman" w:cs="Times New Roman"/>
        </w:rPr>
      </w:pPr>
      <w:r w:rsidRPr="008A6303">
        <w:rPr>
          <w:rFonts w:ascii="Times New Roman" w:hAnsi="Times New Roman" w:cs="Times New Roman"/>
        </w:rPr>
        <w:t>Detenciones por delitos de drogas en Argentina</w:t>
      </w:r>
    </w:p>
    <w:p w:rsidR="008A6303" w:rsidRDefault="008A6303" w:rsidP="00AC5CD6">
      <w:pPr>
        <w:pStyle w:val="Prrafodelista"/>
        <w:ind w:left="0"/>
        <w:jc w:val="both"/>
        <w:rPr>
          <w:rFonts w:ascii="Times New Roman" w:hAnsi="Times New Roman" w:cs="Times New Roman"/>
        </w:rPr>
      </w:pPr>
    </w:p>
    <w:p w:rsidR="00C61DF9" w:rsidRDefault="00C61DF9" w:rsidP="00AC5CD6">
      <w:pPr>
        <w:pStyle w:val="Prrafodelista"/>
        <w:ind w:left="0"/>
        <w:jc w:val="both"/>
        <w:rPr>
          <w:rFonts w:ascii="Times New Roman" w:hAnsi="Times New Roman" w:cs="Times New Roman"/>
        </w:rPr>
      </w:pPr>
      <w:r>
        <w:rPr>
          <w:rFonts w:ascii="Times New Roman" w:hAnsi="Times New Roman" w:cs="Times New Roman"/>
        </w:rPr>
        <w:t xml:space="preserve">Según la información recolectada por la sociedad civil a nivel nacional a partir de la década de los noventas, tanto en la ciudad como en la provincia de Buenos Aires, la aplicación de la Ley 23.737 produjo un incremento de las detenciones y casos por tenencia de drogas. Como señala </w:t>
      </w:r>
      <w:r w:rsidRPr="00183573">
        <w:rPr>
          <w:rFonts w:ascii="Times New Roman" w:hAnsi="Times New Roman" w:cs="Times New Roman"/>
          <w:i/>
        </w:rPr>
        <w:t>Alejandro Corda</w:t>
      </w:r>
      <w:r>
        <w:rPr>
          <w:rFonts w:ascii="Times New Roman" w:hAnsi="Times New Roman" w:cs="Times New Roman"/>
        </w:rPr>
        <w:t xml:space="preserve">: </w:t>
      </w:r>
    </w:p>
    <w:p w:rsidR="00C61DF9" w:rsidRDefault="00C61DF9" w:rsidP="00C61DF9">
      <w:pPr>
        <w:pStyle w:val="Prrafodelista"/>
        <w:ind w:left="567" w:right="567"/>
        <w:jc w:val="both"/>
        <w:rPr>
          <w:rFonts w:ascii="Times New Roman" w:hAnsi="Times New Roman" w:cs="Times New Roman"/>
          <w:lang w:val="es-MX"/>
        </w:rPr>
      </w:pPr>
    </w:p>
    <w:p w:rsidR="000E624C" w:rsidRPr="000E624C" w:rsidRDefault="00C61DF9" w:rsidP="000E624C">
      <w:pPr>
        <w:pStyle w:val="Prrafodelista"/>
        <w:ind w:left="567" w:right="567"/>
        <w:jc w:val="both"/>
        <w:rPr>
          <w:rFonts w:ascii="Times New Roman" w:hAnsi="Times New Roman" w:cs="Times New Roman"/>
          <w:sz w:val="20"/>
          <w:szCs w:val="20"/>
          <w:lang w:val="es-MX"/>
        </w:rPr>
      </w:pPr>
      <w:r w:rsidRPr="004519C5">
        <w:rPr>
          <w:rFonts w:ascii="Times New Roman" w:hAnsi="Times New Roman" w:cs="Times New Roman"/>
          <w:sz w:val="20"/>
          <w:szCs w:val="20"/>
          <w:u w:val="single"/>
          <w:lang w:val="es-MX"/>
        </w:rPr>
        <w:lastRenderedPageBreak/>
        <w:t>“[En la Ciudad Autónoma de Buenos Aires] se advierte un aumento de la aplicación de esa ley durante la década de los noventa: de 2.000 casos a más de 10.000. Un relevamiento realizado por el Ministerio de Justicia en 1996 en este distrito concluyó que la mayoría de los casos (el 70,1%) era por tenencia de drogas para consumo personal. Ese y otros relevamientos de la década mostraban que las personas involucradas eran jóvenes, varones, argentinos, solteros, sin antecedentes penales ni encarcelamientos, detenidos en la vía pública</w:t>
      </w:r>
      <w:r w:rsidRPr="00225C78">
        <w:rPr>
          <w:rFonts w:ascii="Times New Roman" w:hAnsi="Times New Roman" w:cs="Times New Roman"/>
          <w:sz w:val="20"/>
          <w:szCs w:val="20"/>
          <w:lang w:val="es-MX"/>
        </w:rPr>
        <w:t xml:space="preserve"> […]</w:t>
      </w:r>
      <w:r w:rsidRPr="00225C78">
        <w:rPr>
          <w:rStyle w:val="Refdenotaalpie"/>
          <w:rFonts w:ascii="Times New Roman" w:hAnsi="Times New Roman" w:cs="Times New Roman"/>
          <w:sz w:val="20"/>
          <w:szCs w:val="20"/>
          <w:lang w:val="es-MX"/>
        </w:rPr>
        <w:footnoteReference w:id="22"/>
      </w:r>
    </w:p>
    <w:p w:rsidR="000E624C" w:rsidRPr="000E624C" w:rsidRDefault="00225C78" w:rsidP="00F42A97">
      <w:pPr>
        <w:jc w:val="both"/>
        <w:rPr>
          <w:rFonts w:ascii="Times New Roman" w:hAnsi="Times New Roman" w:cs="Times New Roman"/>
          <w:lang w:val="es-MX"/>
        </w:rPr>
      </w:pPr>
      <w:r w:rsidRPr="000E624C">
        <w:rPr>
          <w:rFonts w:ascii="Times New Roman" w:hAnsi="Times New Roman" w:cs="Times New Roman"/>
          <w:lang w:val="es-MX"/>
        </w:rPr>
        <w:t>Es importante señalar que dicho patrón se ha mantenido a lo largo del tiempo</w:t>
      </w:r>
      <w:r w:rsidR="004519C5" w:rsidRPr="000E624C">
        <w:rPr>
          <w:rFonts w:ascii="Times New Roman" w:hAnsi="Times New Roman" w:cs="Times New Roman"/>
          <w:lang w:val="es-MX"/>
        </w:rPr>
        <w:t xml:space="preserve"> hasta la fecha</w:t>
      </w:r>
      <w:r w:rsidR="000E624C">
        <w:rPr>
          <w:rFonts w:ascii="Times New Roman" w:hAnsi="Times New Roman" w:cs="Times New Roman"/>
          <w:lang w:val="es-MX"/>
        </w:rPr>
        <w:t xml:space="preserve"> en Argentina, lo cual evidencia que los casos del señor </w:t>
      </w:r>
      <w:r w:rsidR="000E624C" w:rsidRPr="00CE70D0">
        <w:rPr>
          <w:rFonts w:ascii="Times New Roman" w:hAnsi="Times New Roman" w:cs="Times New Roman"/>
          <w:i/>
          <w:lang w:val="es-MX"/>
        </w:rPr>
        <w:t>Fernández Prieto</w:t>
      </w:r>
      <w:r w:rsidR="000E624C">
        <w:rPr>
          <w:rFonts w:ascii="Times New Roman" w:hAnsi="Times New Roman" w:cs="Times New Roman"/>
          <w:lang w:val="es-MX"/>
        </w:rPr>
        <w:t xml:space="preserve"> y el señor </w:t>
      </w:r>
      <w:r w:rsidR="000E624C" w:rsidRPr="00CE70D0">
        <w:rPr>
          <w:rFonts w:ascii="Times New Roman" w:hAnsi="Times New Roman" w:cs="Times New Roman"/>
          <w:i/>
          <w:lang w:val="es-MX"/>
        </w:rPr>
        <w:t>Tumbeiro</w:t>
      </w:r>
      <w:r w:rsidR="000E624C">
        <w:rPr>
          <w:rFonts w:ascii="Times New Roman" w:hAnsi="Times New Roman" w:cs="Times New Roman"/>
          <w:lang w:val="es-MX"/>
        </w:rPr>
        <w:t xml:space="preserve"> se insertan en un patrón específico de detenciones. Lo anterior se observa de</w:t>
      </w:r>
      <w:r w:rsidRPr="000E624C">
        <w:rPr>
          <w:rFonts w:ascii="Times New Roman" w:hAnsi="Times New Roman" w:cs="Times New Roman"/>
          <w:lang w:val="es-MX"/>
        </w:rPr>
        <w:t xml:space="preserve"> información recopilada por el </w:t>
      </w:r>
      <w:r w:rsidRPr="00183573">
        <w:rPr>
          <w:rFonts w:ascii="Times New Roman" w:hAnsi="Times New Roman" w:cs="Times New Roman"/>
          <w:i/>
          <w:lang w:val="es-MX"/>
        </w:rPr>
        <w:t>Centro de Estudios Legales y Sociales</w:t>
      </w:r>
      <w:r w:rsidR="000E624C" w:rsidRPr="000E624C">
        <w:rPr>
          <w:rFonts w:ascii="Times New Roman" w:hAnsi="Times New Roman" w:cs="Times New Roman"/>
          <w:lang w:val="es-MX"/>
        </w:rPr>
        <w:t xml:space="preserve"> (CELS</w:t>
      </w:r>
      <w:r w:rsidR="00D05926">
        <w:rPr>
          <w:rFonts w:ascii="Times New Roman" w:hAnsi="Times New Roman" w:cs="Times New Roman"/>
          <w:lang w:val="es-MX"/>
        </w:rPr>
        <w:t>), organización que ha documentado las cifras en materia de detención por delitos de drogas. Ejemplo de ello fueron las cifras</w:t>
      </w:r>
      <w:r w:rsidR="000E624C" w:rsidRPr="000E624C">
        <w:rPr>
          <w:rFonts w:ascii="Times New Roman" w:hAnsi="Times New Roman" w:cs="Times New Roman"/>
          <w:lang w:val="es-MX"/>
        </w:rPr>
        <w:t xml:space="preserve"> </w:t>
      </w:r>
      <w:r w:rsidR="00D05926">
        <w:rPr>
          <w:rFonts w:ascii="Times New Roman" w:hAnsi="Times New Roman" w:cs="Times New Roman"/>
        </w:rPr>
        <w:t xml:space="preserve">entre 2010 y 2012, donde las detenciones por sustancias psicoactivas </w:t>
      </w:r>
      <w:r w:rsidR="000E624C" w:rsidRPr="000E624C">
        <w:rPr>
          <w:rFonts w:ascii="Times New Roman" w:hAnsi="Times New Roman" w:cs="Times New Roman"/>
        </w:rPr>
        <w:t>fueron</w:t>
      </w:r>
      <w:r w:rsidR="00D05926">
        <w:rPr>
          <w:rFonts w:ascii="Times New Roman" w:hAnsi="Times New Roman" w:cs="Times New Roman"/>
        </w:rPr>
        <w:t xml:space="preserve"> entre el 20 y el</w:t>
      </w:r>
      <w:r w:rsidR="000E624C" w:rsidRPr="000E624C">
        <w:rPr>
          <w:rFonts w:ascii="Times New Roman" w:hAnsi="Times New Roman" w:cs="Times New Roman"/>
        </w:rPr>
        <w:t xml:space="preserve"> 25% del total.  A</w:t>
      </w:r>
      <w:r w:rsidR="00CE70D0">
        <w:rPr>
          <w:rFonts w:ascii="Times New Roman" w:hAnsi="Times New Roman" w:cs="Times New Roman"/>
        </w:rPr>
        <w:t>simismo, mostró</w:t>
      </w:r>
      <w:r w:rsidR="000E624C">
        <w:rPr>
          <w:rFonts w:ascii="Times New Roman" w:hAnsi="Times New Roman" w:cs="Times New Roman"/>
        </w:rPr>
        <w:t xml:space="preserve"> que:</w:t>
      </w:r>
    </w:p>
    <w:p w:rsidR="00225C78" w:rsidRPr="003D64E3" w:rsidRDefault="000E624C" w:rsidP="00447A21">
      <w:pPr>
        <w:ind w:left="567" w:right="567"/>
        <w:jc w:val="both"/>
        <w:rPr>
          <w:rFonts w:ascii="Times New Roman" w:hAnsi="Times New Roman" w:cs="Times New Roman"/>
          <w:sz w:val="20"/>
        </w:rPr>
      </w:pPr>
      <w:r w:rsidRPr="003D64E3">
        <w:rPr>
          <w:rFonts w:ascii="Times New Roman" w:hAnsi="Times New Roman" w:cs="Times New Roman"/>
          <w:sz w:val="20"/>
        </w:rPr>
        <w:t>“[l]a mitad de los procedimientos por drogas (49%) se encuadraron en acciones de “prevención policial”, en las que el policía alegó que la detención fue realizada por la sospecha de que la persona estaba cometiendo un delito. El segundo gran grupo de detenciones (38%) involucró a personas que –siempre según la policía– fueron detenidas in fragranti en el acto de consumir, porcentaje que muestra la persecución a los consumidores y usuarios. Luego estuvieron las detenciones motivadas por denuncias o llamados al 911 (6%). Solo el 4% de las detenciones por drogas tuvieron lugar en el marco de allanamientos y solo el 2% se realizaron por una orden judicial”.</w:t>
      </w:r>
      <w:r w:rsidRPr="003D64E3">
        <w:rPr>
          <w:rStyle w:val="Refdenotaalpie"/>
          <w:rFonts w:ascii="Times New Roman" w:hAnsi="Times New Roman" w:cs="Times New Roman"/>
          <w:sz w:val="20"/>
        </w:rPr>
        <w:footnoteReference w:id="23"/>
      </w:r>
    </w:p>
    <w:p w:rsidR="005504B6" w:rsidRPr="003D64E3" w:rsidRDefault="005504B6" w:rsidP="005504B6">
      <w:pPr>
        <w:ind w:left="567" w:right="567"/>
        <w:jc w:val="both"/>
        <w:rPr>
          <w:rFonts w:ascii="Times New Roman" w:hAnsi="Times New Roman" w:cs="Times New Roman"/>
          <w:sz w:val="20"/>
        </w:rPr>
      </w:pPr>
      <w:r w:rsidRPr="003D64E3">
        <w:rPr>
          <w:rFonts w:ascii="Times New Roman" w:hAnsi="Times New Roman" w:cs="Times New Roman"/>
          <w:sz w:val="20"/>
          <w:lang w:val="es-MX"/>
        </w:rPr>
        <w:t xml:space="preserve">“[…] </w:t>
      </w:r>
      <w:r w:rsidR="004519C5" w:rsidRPr="003D64E3">
        <w:rPr>
          <w:rFonts w:ascii="Times New Roman" w:hAnsi="Times New Roman" w:cs="Times New Roman"/>
          <w:sz w:val="20"/>
        </w:rPr>
        <w:t>Si se consideran los hechos delictivos relacionados con las drogas que fueron detectados por las policías se aprecia que el crecimiento fue muy importante: en 2002 las policías registraron 15.508 hechos en todo el país y en 2017 registraron 47.665, es decir que hubo un incremento del 200%</w:t>
      </w:r>
      <w:r w:rsidRPr="003D64E3">
        <w:rPr>
          <w:rFonts w:ascii="Times New Roman" w:hAnsi="Times New Roman" w:cs="Times New Roman"/>
          <w:sz w:val="20"/>
        </w:rPr>
        <w:t xml:space="preserve"> [</w:t>
      </w:r>
      <w:r w:rsidR="004519C5" w:rsidRPr="003D64E3">
        <w:rPr>
          <w:rFonts w:ascii="Times New Roman" w:hAnsi="Times New Roman" w:cs="Times New Roman"/>
          <w:sz w:val="20"/>
        </w:rPr>
        <w:t>.</w:t>
      </w:r>
      <w:r w:rsidRPr="003D64E3">
        <w:rPr>
          <w:rFonts w:ascii="Times New Roman" w:hAnsi="Times New Roman" w:cs="Times New Roman"/>
          <w:sz w:val="20"/>
        </w:rPr>
        <w:t>..]</w:t>
      </w:r>
    </w:p>
    <w:p w:rsidR="00CE70D0" w:rsidRPr="002D7571" w:rsidRDefault="005504B6" w:rsidP="00CE70D0">
      <w:pPr>
        <w:ind w:left="567" w:right="567"/>
        <w:jc w:val="both"/>
        <w:rPr>
          <w:rFonts w:ascii="Times New Roman" w:hAnsi="Times New Roman" w:cs="Times New Roman"/>
        </w:rPr>
      </w:pPr>
      <w:r w:rsidRPr="003D64E3">
        <w:rPr>
          <w:rFonts w:ascii="Times New Roman" w:hAnsi="Times New Roman" w:cs="Times New Roman"/>
          <w:sz w:val="20"/>
        </w:rPr>
        <w:t xml:space="preserve">[Asimismo], </w:t>
      </w:r>
      <w:r w:rsidR="00D23A80" w:rsidRPr="003D64E3">
        <w:rPr>
          <w:rFonts w:ascii="Times New Roman" w:hAnsi="Times New Roman" w:cs="Times New Roman"/>
          <w:sz w:val="20"/>
        </w:rPr>
        <w:t>e</w:t>
      </w:r>
      <w:r w:rsidRPr="003D64E3">
        <w:rPr>
          <w:rFonts w:ascii="Times New Roman" w:hAnsi="Times New Roman" w:cs="Times New Roman"/>
          <w:sz w:val="20"/>
        </w:rPr>
        <w:t>n 2017, el 79,4% de las detenciones estuvieron originadas en situaciones en las que la policía detectó a simple vista, al transitar las calles, o recibió en las comisarías denuncias de hechos relacionados con el consumo, la tenencia y la venta minorista.”</w:t>
      </w:r>
      <w:r w:rsidRPr="003D64E3">
        <w:rPr>
          <w:rStyle w:val="Refdenotaalpie"/>
          <w:rFonts w:ascii="Times New Roman" w:hAnsi="Times New Roman" w:cs="Times New Roman"/>
          <w:sz w:val="20"/>
        </w:rPr>
        <w:footnoteReference w:id="24"/>
      </w:r>
    </w:p>
    <w:p w:rsidR="001D68AB" w:rsidRPr="002D7571" w:rsidRDefault="00D23A80" w:rsidP="00CE70D0">
      <w:pPr>
        <w:jc w:val="both"/>
        <w:rPr>
          <w:rFonts w:ascii="Times New Roman" w:hAnsi="Times New Roman" w:cs="Times New Roman"/>
        </w:rPr>
      </w:pPr>
      <w:r w:rsidRPr="002D7571">
        <w:rPr>
          <w:rFonts w:ascii="Times New Roman" w:hAnsi="Times New Roman" w:cs="Times New Roman"/>
        </w:rPr>
        <w:t>En cuanto</w:t>
      </w:r>
      <w:r w:rsidR="005504B6" w:rsidRPr="002D7571">
        <w:rPr>
          <w:rFonts w:ascii="Times New Roman" w:hAnsi="Times New Roman" w:cs="Times New Roman"/>
          <w:lang w:val="es-MX"/>
        </w:rPr>
        <w:t xml:space="preserve"> al papel del Poder Judicial respecto a las detenciones, el CELS evidenció que:</w:t>
      </w:r>
    </w:p>
    <w:p w:rsidR="001D68AB" w:rsidRPr="003D64E3" w:rsidRDefault="00225C78" w:rsidP="00CE70D0">
      <w:pPr>
        <w:ind w:left="567" w:right="567"/>
        <w:jc w:val="both"/>
        <w:rPr>
          <w:rFonts w:ascii="Times New Roman" w:hAnsi="Times New Roman" w:cs="Times New Roman"/>
          <w:color w:val="auto"/>
          <w:sz w:val="20"/>
          <w:lang w:val="es-MX"/>
        </w:rPr>
      </w:pPr>
      <w:r w:rsidRPr="003D64E3">
        <w:rPr>
          <w:rFonts w:ascii="Times New Roman" w:hAnsi="Times New Roman" w:cs="Times New Roman"/>
          <w:color w:val="auto"/>
          <w:sz w:val="20"/>
          <w:lang w:val="es-MX"/>
        </w:rPr>
        <w:t xml:space="preserve">“El sistema judicial está centralmente orientado a la persecución de los delitos de comercialización y tenencia de drogas, como puede verse en el aumento de la cantidad de causas de este tipo. Muy pocas de ellas son elevadas a juicio. El hecho de que las condenas sean, en general, por pocos años demuestra </w:t>
      </w:r>
      <w:r w:rsidR="00DC4093" w:rsidRPr="003D64E3">
        <w:rPr>
          <w:rFonts w:ascii="Times New Roman" w:hAnsi="Times New Roman" w:cs="Times New Roman"/>
          <w:color w:val="auto"/>
          <w:sz w:val="20"/>
          <w:lang w:val="es-MX"/>
        </w:rPr>
        <w:t>que se trata de delitos menores.</w:t>
      </w:r>
    </w:p>
    <w:p w:rsidR="00225C78" w:rsidRPr="003D64E3" w:rsidRDefault="00225C78" w:rsidP="00E17228">
      <w:pPr>
        <w:ind w:left="567" w:right="567"/>
        <w:jc w:val="both"/>
        <w:rPr>
          <w:rFonts w:ascii="Times New Roman" w:hAnsi="Times New Roman" w:cs="Times New Roman"/>
          <w:color w:val="auto"/>
          <w:sz w:val="20"/>
          <w:lang w:val="es-MX"/>
        </w:rPr>
      </w:pPr>
      <w:r w:rsidRPr="003D64E3">
        <w:rPr>
          <w:rFonts w:ascii="Times New Roman" w:hAnsi="Times New Roman" w:cs="Times New Roman"/>
          <w:color w:val="auto"/>
          <w:sz w:val="20"/>
          <w:lang w:val="es-MX"/>
        </w:rPr>
        <w:t xml:space="preserve">En los últimos años, la cantidad de causas iniciadas por drogas en la justicia federal se mantuvo estable, entre 20 mil y 24 mil causas anuales. Pero, aumentaron las causas que iniciaron los sistemas de justicia de las provincias que adhirieron a la ley de desfederalización 26.052. De acuerdo a esta norma, los sistemas judiciales provinciales asumen la persecución de los delitos menores de drogas: tenencia y venta al consumidor. Por ejemplo, desde que en </w:t>
      </w:r>
      <w:r w:rsidRPr="003D64E3">
        <w:rPr>
          <w:rFonts w:ascii="Times New Roman" w:hAnsi="Times New Roman" w:cs="Times New Roman"/>
          <w:color w:val="auto"/>
          <w:sz w:val="20"/>
          <w:lang w:val="es-MX"/>
        </w:rPr>
        <w:lastRenderedPageBreak/>
        <w:t>2005 la provincia de Buenos Aires desfederalizó, las causas iniciadas aumentaron un 207%: en 2006 fueron iniciadas unas 14 mil causas; en 2017, más de 48 mil.”</w:t>
      </w:r>
      <w:r w:rsidRPr="003D64E3">
        <w:rPr>
          <w:rStyle w:val="Refdenotaalpie"/>
          <w:rFonts w:ascii="Times New Roman" w:hAnsi="Times New Roman" w:cs="Times New Roman"/>
          <w:color w:val="auto"/>
          <w:sz w:val="20"/>
          <w:lang w:val="es-MX"/>
        </w:rPr>
        <w:footnoteReference w:id="25"/>
      </w:r>
    </w:p>
    <w:p w:rsidR="006053D1" w:rsidRPr="002D7571" w:rsidRDefault="00CE70D0" w:rsidP="006053D1">
      <w:pPr>
        <w:jc w:val="both"/>
        <w:rPr>
          <w:rFonts w:ascii="Times New Roman" w:hAnsi="Times New Roman" w:cs="Times New Roman"/>
          <w:lang w:val="es-MX"/>
        </w:rPr>
      </w:pPr>
      <w:r w:rsidRPr="002D7571">
        <w:rPr>
          <w:rFonts w:ascii="Times New Roman" w:hAnsi="Times New Roman" w:cs="Times New Roman"/>
          <w:lang w:val="es-MX"/>
        </w:rPr>
        <w:t xml:space="preserve">Frente al patrón de detenciones bajo sospecha y sin orden judicial se ha pronunciado el </w:t>
      </w:r>
      <w:r w:rsidRPr="002D7571">
        <w:rPr>
          <w:rFonts w:ascii="Times New Roman" w:hAnsi="Times New Roman" w:cs="Times New Roman"/>
          <w:i/>
          <w:lang w:val="es-MX"/>
        </w:rPr>
        <w:t>Grupo de Trabajo de Naciones U</w:t>
      </w:r>
      <w:r w:rsidR="00183573" w:rsidRPr="002D7571">
        <w:rPr>
          <w:rFonts w:ascii="Times New Roman" w:hAnsi="Times New Roman" w:cs="Times New Roman"/>
          <w:i/>
          <w:lang w:val="es-MX"/>
        </w:rPr>
        <w:t>nidas</w:t>
      </w:r>
      <w:r w:rsidRPr="002D7571">
        <w:rPr>
          <w:rFonts w:ascii="Times New Roman" w:hAnsi="Times New Roman" w:cs="Times New Roman"/>
          <w:i/>
          <w:lang w:val="es-MX"/>
        </w:rPr>
        <w:t xml:space="preserve"> sobre Detención A</w:t>
      </w:r>
      <w:r w:rsidR="006053D1" w:rsidRPr="002D7571">
        <w:rPr>
          <w:rFonts w:ascii="Times New Roman" w:hAnsi="Times New Roman" w:cs="Times New Roman"/>
          <w:i/>
          <w:lang w:val="es-MX"/>
        </w:rPr>
        <w:t>rbitraria</w:t>
      </w:r>
      <w:r w:rsidR="006053D1" w:rsidRPr="002D7571">
        <w:rPr>
          <w:rFonts w:ascii="Times New Roman" w:hAnsi="Times New Roman" w:cs="Times New Roman"/>
          <w:lang w:val="es-MX"/>
        </w:rPr>
        <w:t>, al reconocer que las detenciones efectuadas sin orden judicial y/o por averiguación de identidad son frecuentes, y por lo general se realizan sobre la base de estereotipos, con invocación a fórmulas genéricas tales como que la persona “no justifica su permanencia en el lugar”, “merodea en actitud  sospechosa”, “no puede acreditar su identidad” o “demuestra actitudes de nerviosismo” e “intranquilidad”.</w:t>
      </w:r>
      <w:r w:rsidR="006053D1" w:rsidRPr="002D7571">
        <w:rPr>
          <w:rStyle w:val="Refdenotaalpie"/>
          <w:rFonts w:ascii="Times New Roman" w:hAnsi="Times New Roman" w:cs="Times New Roman"/>
          <w:lang w:val="es-MX"/>
        </w:rPr>
        <w:footnoteReference w:id="26"/>
      </w:r>
      <w:r w:rsidR="006053D1" w:rsidRPr="002D7571">
        <w:rPr>
          <w:rFonts w:ascii="Times New Roman" w:hAnsi="Times New Roman" w:cs="Times New Roman"/>
          <w:lang w:val="es-MX"/>
        </w:rPr>
        <w:t xml:space="preserve"> Para el Grupo de Trabajo, las detenciones de la policía en Argentina bajo la base de la sospecha resultan discriminatorias y bajo un sesgo contra personas que se encuentran en situación de vulnerabilidad.</w:t>
      </w:r>
      <w:r w:rsidR="006053D1" w:rsidRPr="002D7571">
        <w:rPr>
          <w:rStyle w:val="Refdenotaalpie"/>
          <w:rFonts w:ascii="Times New Roman" w:hAnsi="Times New Roman" w:cs="Times New Roman"/>
          <w:lang w:val="es-MX"/>
        </w:rPr>
        <w:footnoteReference w:id="27"/>
      </w:r>
      <w:r w:rsidR="006053D1" w:rsidRPr="002D7571">
        <w:rPr>
          <w:rFonts w:ascii="Times New Roman" w:hAnsi="Times New Roman" w:cs="Times New Roman"/>
          <w:lang w:val="es-MX"/>
        </w:rPr>
        <w:t xml:space="preserve"> </w:t>
      </w:r>
    </w:p>
    <w:p w:rsidR="006053D1" w:rsidRPr="002D7571" w:rsidRDefault="00183573" w:rsidP="006053D1">
      <w:pPr>
        <w:jc w:val="both"/>
        <w:rPr>
          <w:rFonts w:ascii="Times New Roman" w:hAnsi="Times New Roman" w:cs="Times New Roman"/>
        </w:rPr>
      </w:pPr>
      <w:r w:rsidRPr="002D7571">
        <w:rPr>
          <w:rFonts w:ascii="Times New Roman" w:hAnsi="Times New Roman" w:cs="Times New Roman"/>
          <w:lang w:val="es-MX"/>
        </w:rPr>
        <w:t xml:space="preserve">Por su parte, el </w:t>
      </w:r>
      <w:r w:rsidRPr="002D7571">
        <w:rPr>
          <w:rFonts w:ascii="Times New Roman" w:hAnsi="Times New Roman" w:cs="Times New Roman"/>
          <w:i/>
          <w:lang w:val="es-MX"/>
        </w:rPr>
        <w:t>Comité de Derechos Humanos de Naciones Unidas</w:t>
      </w:r>
      <w:r w:rsidRPr="002D7571">
        <w:rPr>
          <w:rFonts w:ascii="Times New Roman" w:hAnsi="Times New Roman" w:cs="Times New Roman"/>
          <w:lang w:val="es-MX"/>
        </w:rPr>
        <w:t xml:space="preserve">, ha reiterado su preocupación </w:t>
      </w:r>
      <w:r w:rsidRPr="002D7571">
        <w:rPr>
          <w:rFonts w:ascii="Times New Roman" w:hAnsi="Times New Roman" w:cs="Times New Roman"/>
        </w:rPr>
        <w:t>por la subsistencia de normas que otorgan facultades a la policía para detener personas, sin orden judicial anterior ni control judicial posterior y fuera de los supuestos de flagrancia, por el único motivo formal de averiguar su identidad, en contravención, entre otros, del principio de presunción de inocencia.</w:t>
      </w:r>
      <w:r w:rsidRPr="002D7571">
        <w:rPr>
          <w:rStyle w:val="Refdenotaalpie"/>
          <w:rFonts w:ascii="Times New Roman" w:hAnsi="Times New Roman" w:cs="Times New Roman"/>
        </w:rPr>
        <w:footnoteReference w:id="28"/>
      </w:r>
    </w:p>
    <w:p w:rsidR="00CE70D0" w:rsidRPr="002D7571" w:rsidRDefault="00856766" w:rsidP="00E630F6">
      <w:pPr>
        <w:jc w:val="both"/>
        <w:rPr>
          <w:rFonts w:ascii="Times New Roman" w:hAnsi="Times New Roman" w:cs="Times New Roman"/>
        </w:rPr>
      </w:pPr>
      <w:r w:rsidRPr="002D7571">
        <w:rPr>
          <w:rFonts w:ascii="Times New Roman" w:hAnsi="Times New Roman" w:cs="Times New Roman"/>
        </w:rPr>
        <w:t>Asimismo, l</w:t>
      </w:r>
      <w:r w:rsidR="00D23A80" w:rsidRPr="002D7571">
        <w:rPr>
          <w:rFonts w:ascii="Times New Roman" w:hAnsi="Times New Roman" w:cs="Times New Roman"/>
          <w:lang w:val="es-MX"/>
        </w:rPr>
        <w:t>a implementación de dichas normativas también ha reflejado</w:t>
      </w:r>
      <w:r w:rsidR="00E630F6" w:rsidRPr="002D7571">
        <w:rPr>
          <w:rFonts w:ascii="Times New Roman" w:hAnsi="Times New Roman" w:cs="Times New Roman"/>
          <w:lang w:val="es-MX"/>
        </w:rPr>
        <w:t xml:space="preserve"> a la utilización excesiva de la figura de prisión preventiva para delitos relaciona</w:t>
      </w:r>
      <w:r w:rsidR="00B63AA3" w:rsidRPr="002D7571">
        <w:rPr>
          <w:rFonts w:ascii="Times New Roman" w:hAnsi="Times New Roman" w:cs="Times New Roman"/>
          <w:lang w:val="es-MX"/>
        </w:rPr>
        <w:t>dos con sustancias psicoactivas. S</w:t>
      </w:r>
      <w:r w:rsidR="00E630F6" w:rsidRPr="002D7571">
        <w:rPr>
          <w:rFonts w:ascii="Times New Roman" w:hAnsi="Times New Roman" w:cs="Times New Roman"/>
          <w:lang w:val="es-MX"/>
        </w:rPr>
        <w:t>egún información recopilada por la CIDH</w:t>
      </w:r>
      <w:r w:rsidR="00B63AA3" w:rsidRPr="002D7571">
        <w:rPr>
          <w:rFonts w:ascii="Times New Roman" w:hAnsi="Times New Roman" w:cs="Times New Roman"/>
          <w:lang w:val="es-MX"/>
        </w:rPr>
        <w:t xml:space="preserve"> sobre</w:t>
      </w:r>
      <w:r w:rsidR="00E630F6" w:rsidRPr="002D7571">
        <w:rPr>
          <w:rFonts w:ascii="Times New Roman" w:hAnsi="Times New Roman" w:cs="Times New Roman"/>
          <w:lang w:val="es-MX"/>
        </w:rPr>
        <w:t xml:space="preserve"> Argentina, </w:t>
      </w:r>
      <w:r w:rsidR="00E630F6" w:rsidRPr="002D7571">
        <w:rPr>
          <w:rFonts w:ascii="Times New Roman" w:hAnsi="Times New Roman" w:cs="Times New Roman"/>
        </w:rPr>
        <w:t>el total de personas bajo dicha figura en el sistema penitenciario federal al 2011, el 39% estaba por delitos de drogas contemplados en la Ley 23.373.</w:t>
      </w:r>
    </w:p>
    <w:p w:rsidR="001D68AB" w:rsidRPr="002D7571" w:rsidRDefault="002F326A" w:rsidP="00E630F6">
      <w:pPr>
        <w:jc w:val="both"/>
        <w:rPr>
          <w:rFonts w:ascii="Times New Roman" w:hAnsi="Times New Roman" w:cs="Times New Roman"/>
        </w:rPr>
      </w:pPr>
      <w:r w:rsidRPr="002D7571">
        <w:rPr>
          <w:rFonts w:ascii="Times New Roman" w:hAnsi="Times New Roman" w:cs="Times New Roman"/>
        </w:rPr>
        <w:t>Con base en dichas cifras</w:t>
      </w:r>
      <w:r w:rsidR="00856766" w:rsidRPr="002D7571">
        <w:rPr>
          <w:rFonts w:ascii="Times New Roman" w:hAnsi="Times New Roman" w:cs="Times New Roman"/>
        </w:rPr>
        <w:t xml:space="preserve"> y pronunciamientos</w:t>
      </w:r>
      <w:r w:rsidR="00F31721">
        <w:rPr>
          <w:rFonts w:ascii="Times New Roman" w:hAnsi="Times New Roman" w:cs="Times New Roman"/>
        </w:rPr>
        <w:t>,</w:t>
      </w:r>
      <w:r w:rsidR="00856766" w:rsidRPr="002D7571">
        <w:rPr>
          <w:rFonts w:ascii="Times New Roman" w:hAnsi="Times New Roman" w:cs="Times New Roman"/>
        </w:rPr>
        <w:t xml:space="preserve"> se</w:t>
      </w:r>
      <w:r w:rsidRPr="002D7571">
        <w:rPr>
          <w:rFonts w:ascii="Times New Roman" w:hAnsi="Times New Roman" w:cs="Times New Roman"/>
        </w:rPr>
        <w:t xml:space="preserve"> evidencia que la normativa de control de drogas y la de actuación policial</w:t>
      </w:r>
      <w:r w:rsidR="00A87139">
        <w:rPr>
          <w:rFonts w:ascii="Times New Roman" w:hAnsi="Times New Roman" w:cs="Times New Roman"/>
        </w:rPr>
        <w:t>,</w:t>
      </w:r>
      <w:r w:rsidRPr="002D7571">
        <w:rPr>
          <w:rFonts w:ascii="Times New Roman" w:hAnsi="Times New Roman" w:cs="Times New Roman"/>
        </w:rPr>
        <w:t xml:space="preserve"> confluyen desde la época de los hech</w:t>
      </w:r>
      <w:r w:rsidR="00856766" w:rsidRPr="002D7571">
        <w:rPr>
          <w:rFonts w:ascii="Times New Roman" w:hAnsi="Times New Roman" w:cs="Times New Roman"/>
        </w:rPr>
        <w:t xml:space="preserve">os de los casos bajo estudio de </w:t>
      </w:r>
      <w:r w:rsidRPr="002D7571">
        <w:rPr>
          <w:rFonts w:ascii="Times New Roman" w:hAnsi="Times New Roman" w:cs="Times New Roman"/>
        </w:rPr>
        <w:t>este Tribunal</w:t>
      </w:r>
      <w:r w:rsidR="006E6E64" w:rsidRPr="002D7571">
        <w:rPr>
          <w:rFonts w:ascii="Times New Roman" w:hAnsi="Times New Roman" w:cs="Times New Roman"/>
        </w:rPr>
        <w:t>,</w:t>
      </w:r>
      <w:r w:rsidRPr="002D7571">
        <w:rPr>
          <w:rFonts w:ascii="Times New Roman" w:hAnsi="Times New Roman" w:cs="Times New Roman"/>
        </w:rPr>
        <w:t xml:space="preserve"> para priorizar en detenciones relacionadas con tráfico, transporte y tenencia de sustancias psicoactivas</w:t>
      </w:r>
      <w:r w:rsidR="00A87139">
        <w:rPr>
          <w:rFonts w:ascii="Times New Roman" w:hAnsi="Times New Roman" w:cs="Times New Roman"/>
        </w:rPr>
        <w:t xml:space="preserve"> incumpliendo estándares mínimos en materia de libertad personal y debido proceso, dando pie a un patrón de violaciones a derechos humanos dentro del Estado argentino</w:t>
      </w:r>
      <w:r w:rsidRPr="002D7571">
        <w:rPr>
          <w:rFonts w:ascii="Times New Roman" w:hAnsi="Times New Roman" w:cs="Times New Roman"/>
        </w:rPr>
        <w:t>. Po</w:t>
      </w:r>
      <w:r w:rsidR="00856766" w:rsidRPr="002D7571">
        <w:rPr>
          <w:rFonts w:ascii="Times New Roman" w:hAnsi="Times New Roman" w:cs="Times New Roman"/>
        </w:rPr>
        <w:t xml:space="preserve">r tanto, se propone a este Tribunal que </w:t>
      </w:r>
      <w:r w:rsidR="00A87139">
        <w:rPr>
          <w:rFonts w:ascii="Times New Roman" w:hAnsi="Times New Roman" w:cs="Times New Roman"/>
        </w:rPr>
        <w:t xml:space="preserve">analice la </w:t>
      </w:r>
      <w:r w:rsidR="00856766" w:rsidRPr="002D7571">
        <w:rPr>
          <w:rFonts w:ascii="Times New Roman" w:hAnsi="Times New Roman" w:cs="Times New Roman"/>
        </w:rPr>
        <w:t xml:space="preserve">legislación </w:t>
      </w:r>
      <w:r w:rsidRPr="002D7571">
        <w:rPr>
          <w:rFonts w:ascii="Times New Roman" w:hAnsi="Times New Roman" w:cs="Times New Roman"/>
        </w:rPr>
        <w:t>en su conjunto</w:t>
      </w:r>
      <w:r w:rsidR="00856766" w:rsidRPr="002D7571">
        <w:rPr>
          <w:rFonts w:ascii="Times New Roman" w:hAnsi="Times New Roman" w:cs="Times New Roman"/>
        </w:rPr>
        <w:t xml:space="preserve">, bajo el contexto anteriormente </w:t>
      </w:r>
      <w:r w:rsidR="00E041FC" w:rsidRPr="002D7571">
        <w:rPr>
          <w:rFonts w:ascii="Times New Roman" w:hAnsi="Times New Roman" w:cs="Times New Roman"/>
        </w:rPr>
        <w:t xml:space="preserve">descrito </w:t>
      </w:r>
      <w:r w:rsidR="00E041FC">
        <w:rPr>
          <w:rFonts w:ascii="Times New Roman" w:hAnsi="Times New Roman" w:cs="Times New Roman"/>
        </w:rPr>
        <w:t>frente</w:t>
      </w:r>
      <w:r w:rsidR="00A87139">
        <w:rPr>
          <w:rFonts w:ascii="Times New Roman" w:hAnsi="Times New Roman" w:cs="Times New Roman"/>
        </w:rPr>
        <w:t xml:space="preserve"> a la vulneración de los derechos contenidos en los </w:t>
      </w:r>
      <w:r w:rsidR="001D68AB" w:rsidRPr="002D7571">
        <w:rPr>
          <w:rFonts w:ascii="Times New Roman" w:hAnsi="Times New Roman" w:cs="Times New Roman"/>
        </w:rPr>
        <w:t>art</w:t>
      </w:r>
      <w:r w:rsidR="00856766" w:rsidRPr="002D7571">
        <w:rPr>
          <w:rFonts w:ascii="Times New Roman" w:hAnsi="Times New Roman" w:cs="Times New Roman"/>
        </w:rPr>
        <w:t>ículos, 7, 8, 24, 25</w:t>
      </w:r>
      <w:r w:rsidR="001D68AB" w:rsidRPr="002D7571">
        <w:rPr>
          <w:rFonts w:ascii="Times New Roman" w:hAnsi="Times New Roman" w:cs="Times New Roman"/>
        </w:rPr>
        <w:t xml:space="preserve"> de la CADH en relación a los artículos 1.1 y 2 de la misma. </w:t>
      </w:r>
    </w:p>
    <w:p w:rsidR="001D68AB" w:rsidRDefault="00DA4287" w:rsidP="00856766">
      <w:pPr>
        <w:pStyle w:val="Sinespaciado"/>
        <w:numPr>
          <w:ilvl w:val="0"/>
          <w:numId w:val="17"/>
        </w:numPr>
        <w:rPr>
          <w:rFonts w:ascii="Times New Roman" w:hAnsi="Times New Roman" w:cs="Times New Roman"/>
        </w:rPr>
      </w:pPr>
      <w:r>
        <w:rPr>
          <w:rFonts w:ascii="Times New Roman" w:hAnsi="Times New Roman" w:cs="Times New Roman"/>
        </w:rPr>
        <w:t>La importancia de generar e</w:t>
      </w:r>
      <w:r w:rsidR="00E77A43">
        <w:rPr>
          <w:rFonts w:ascii="Times New Roman" w:hAnsi="Times New Roman" w:cs="Times New Roman"/>
        </w:rPr>
        <w:t>stándares sobre política de</w:t>
      </w:r>
      <w:r>
        <w:rPr>
          <w:rFonts w:ascii="Times New Roman" w:hAnsi="Times New Roman" w:cs="Times New Roman"/>
        </w:rPr>
        <w:t xml:space="preserve"> drogas y derechos humanos en el Sistema Interamericano de Derechos Humanos </w:t>
      </w:r>
    </w:p>
    <w:p w:rsidR="00674720" w:rsidRDefault="00674720" w:rsidP="00674720">
      <w:pPr>
        <w:pStyle w:val="Sinespaciado"/>
        <w:rPr>
          <w:rFonts w:ascii="Times New Roman" w:hAnsi="Times New Roman" w:cs="Times New Roman"/>
        </w:rPr>
      </w:pPr>
    </w:p>
    <w:p w:rsidR="004B6617" w:rsidRDefault="00674720" w:rsidP="002D7571">
      <w:pPr>
        <w:jc w:val="both"/>
        <w:rPr>
          <w:rFonts w:ascii="Times New Roman" w:hAnsi="Times New Roman" w:cs="Times New Roman"/>
        </w:rPr>
      </w:pPr>
      <w:r>
        <w:rPr>
          <w:rFonts w:ascii="Times New Roman" w:hAnsi="Times New Roman" w:cs="Times New Roman"/>
        </w:rPr>
        <w:t xml:space="preserve">Los casos de los señores Fernández Prieto y Tumbeiro, según se desprende de los hechos descritos anteriormente, se enmarcan en detenciones relacionadas con delitos de drogas y bajo una normativa discrecional que permitieron a la policía desconocer garantías del debido proceso legal </w:t>
      </w:r>
      <w:r>
        <w:rPr>
          <w:rFonts w:ascii="Times New Roman" w:hAnsi="Times New Roman" w:cs="Times New Roman"/>
        </w:rPr>
        <w:lastRenderedPageBreak/>
        <w:t xml:space="preserve">y vulnerar el derecho a la libertad personal de </w:t>
      </w:r>
      <w:r w:rsidR="002D7571">
        <w:rPr>
          <w:rFonts w:ascii="Times New Roman" w:hAnsi="Times New Roman" w:cs="Times New Roman"/>
        </w:rPr>
        <w:t>estos conformes</w:t>
      </w:r>
      <w:r>
        <w:rPr>
          <w:rFonts w:ascii="Times New Roman" w:hAnsi="Times New Roman" w:cs="Times New Roman"/>
        </w:rPr>
        <w:t xml:space="preserve"> argumenta la representación de las víctimas en el ESAP. </w:t>
      </w:r>
    </w:p>
    <w:p w:rsidR="006C1FC7" w:rsidRDefault="004B6617" w:rsidP="006C1FC7">
      <w:pPr>
        <w:jc w:val="both"/>
        <w:rPr>
          <w:rFonts w:ascii="Times New Roman" w:hAnsi="Times New Roman" w:cs="Times New Roman"/>
        </w:rPr>
      </w:pPr>
      <w:r>
        <w:rPr>
          <w:rFonts w:ascii="Times New Roman" w:hAnsi="Times New Roman" w:cs="Times New Roman"/>
        </w:rPr>
        <w:t>Atendiendo a que dichas normativas se sustentan en la política de prohibición a nivel internacional</w:t>
      </w:r>
      <w:r w:rsidR="002D7571">
        <w:rPr>
          <w:rFonts w:ascii="Times New Roman" w:hAnsi="Times New Roman" w:cs="Times New Roman"/>
        </w:rPr>
        <w:t>, consideramos que el análisis sobre la responsabilidad internacional del Estado argentino, además de realizarse bajo los estándares de esta Corte IDH en materia de de</w:t>
      </w:r>
      <w:r>
        <w:rPr>
          <w:rFonts w:ascii="Times New Roman" w:hAnsi="Times New Roman" w:cs="Times New Roman"/>
        </w:rPr>
        <w:t>tenciones y debido proceso</w:t>
      </w:r>
      <w:r w:rsidR="002D7571">
        <w:rPr>
          <w:rFonts w:ascii="Times New Roman" w:hAnsi="Times New Roman" w:cs="Times New Roman"/>
        </w:rPr>
        <w:t>, debe tomar en consideración</w:t>
      </w:r>
      <w:r w:rsidR="006C1FC7">
        <w:rPr>
          <w:rFonts w:ascii="Times New Roman" w:hAnsi="Times New Roman" w:cs="Times New Roman"/>
        </w:rPr>
        <w:t xml:space="preserve"> el diálogo</w:t>
      </w:r>
      <w:r w:rsidR="002D7571">
        <w:rPr>
          <w:rFonts w:ascii="Times New Roman" w:hAnsi="Times New Roman" w:cs="Times New Roman"/>
        </w:rPr>
        <w:t xml:space="preserve"> que debe existir entre las obligaciones generales en materia de derechos humanos y la política de fiscalizaci</w:t>
      </w:r>
      <w:r w:rsidR="006C1FC7">
        <w:rPr>
          <w:rFonts w:ascii="Times New Roman" w:hAnsi="Times New Roman" w:cs="Times New Roman"/>
        </w:rPr>
        <w:t>ón de drogas</w:t>
      </w:r>
      <w:r w:rsidR="00447A21">
        <w:rPr>
          <w:rFonts w:ascii="Times New Roman" w:hAnsi="Times New Roman" w:cs="Times New Roman"/>
        </w:rPr>
        <w:t xml:space="preserve">. Lo anterior, a </w:t>
      </w:r>
      <w:r w:rsidR="002D7571">
        <w:rPr>
          <w:rFonts w:ascii="Times New Roman" w:hAnsi="Times New Roman" w:cs="Times New Roman"/>
        </w:rPr>
        <w:t>fin de que este Tribunal contribuya a la producción de estánd</w:t>
      </w:r>
      <w:r w:rsidR="006C1FC7">
        <w:rPr>
          <w:rFonts w:ascii="Times New Roman" w:hAnsi="Times New Roman" w:cs="Times New Roman"/>
        </w:rPr>
        <w:t>ares vinculantes en la materia en favor de la región.</w:t>
      </w:r>
    </w:p>
    <w:p w:rsidR="006C1FC7" w:rsidRDefault="004B6617" w:rsidP="002D7571">
      <w:pPr>
        <w:jc w:val="both"/>
        <w:rPr>
          <w:rFonts w:ascii="Times New Roman" w:hAnsi="Times New Roman" w:cs="Times New Roman"/>
        </w:rPr>
      </w:pPr>
      <w:r>
        <w:rPr>
          <w:rFonts w:ascii="Times New Roman" w:hAnsi="Times New Roman" w:cs="Times New Roman"/>
        </w:rPr>
        <w:t>Lo anterior, teniendo en cuenta que en</w:t>
      </w:r>
      <w:r w:rsidR="006C1FC7" w:rsidRPr="006C1FC7">
        <w:rPr>
          <w:rFonts w:ascii="Times New Roman" w:hAnsi="Times New Roman" w:cs="Times New Roman"/>
        </w:rPr>
        <w:t xml:space="preserve"> los últimos años, el debate sobre la política de drogas se ha hecho más intenso con</w:t>
      </w:r>
      <w:r w:rsidR="006C1FC7">
        <w:rPr>
          <w:rFonts w:ascii="Times New Roman" w:hAnsi="Times New Roman" w:cs="Times New Roman"/>
        </w:rPr>
        <w:t xml:space="preserve"> posturas críticas por parte de </w:t>
      </w:r>
      <w:r w:rsidR="006C1FC7" w:rsidRPr="006C1FC7">
        <w:rPr>
          <w:rFonts w:ascii="Times New Roman" w:hAnsi="Times New Roman" w:cs="Times New Roman"/>
        </w:rPr>
        <w:t>expertos, organizaciones no gubernamentales y más recientemente líderes polític</w:t>
      </w:r>
      <w:r w:rsidR="006C1FC7">
        <w:rPr>
          <w:rFonts w:ascii="Times New Roman" w:hAnsi="Times New Roman" w:cs="Times New Roman"/>
        </w:rPr>
        <w:t>os y ex-mandatarios que no solo cuestionan la</w:t>
      </w:r>
      <w:r w:rsidR="006C1FC7" w:rsidRPr="006C1FC7">
        <w:rPr>
          <w:rFonts w:ascii="Times New Roman" w:hAnsi="Times New Roman" w:cs="Times New Roman"/>
        </w:rPr>
        <w:t xml:space="preserve"> efectividad</w:t>
      </w:r>
      <w:r w:rsidR="006C1FC7">
        <w:rPr>
          <w:rFonts w:ascii="Times New Roman" w:hAnsi="Times New Roman" w:cs="Times New Roman"/>
        </w:rPr>
        <w:t xml:space="preserve"> de la política de drogas vigente</w:t>
      </w:r>
      <w:r w:rsidR="006C1FC7" w:rsidRPr="006C1FC7">
        <w:rPr>
          <w:rFonts w:ascii="Times New Roman" w:hAnsi="Times New Roman" w:cs="Times New Roman"/>
        </w:rPr>
        <w:t>, sino</w:t>
      </w:r>
      <w:r w:rsidR="006C1FC7">
        <w:rPr>
          <w:rFonts w:ascii="Times New Roman" w:hAnsi="Times New Roman" w:cs="Times New Roman"/>
        </w:rPr>
        <w:t xml:space="preserve"> también sus graves efectos en los derechos humanos, especialmente</w:t>
      </w:r>
      <w:r w:rsidR="006C1FC7" w:rsidRPr="006C1FC7">
        <w:rPr>
          <w:rFonts w:ascii="Times New Roman" w:hAnsi="Times New Roman" w:cs="Times New Roman"/>
        </w:rPr>
        <w:t xml:space="preserve"> en América Latina</w:t>
      </w:r>
      <w:r w:rsidR="006C1FC7">
        <w:rPr>
          <w:rFonts w:ascii="Times New Roman" w:hAnsi="Times New Roman" w:cs="Times New Roman"/>
        </w:rPr>
        <w:t>.</w:t>
      </w:r>
      <w:r w:rsidR="006C1FC7">
        <w:rPr>
          <w:rStyle w:val="Refdenotaalpie"/>
          <w:rFonts w:ascii="Times New Roman" w:hAnsi="Times New Roman" w:cs="Times New Roman"/>
        </w:rPr>
        <w:footnoteReference w:id="29"/>
      </w:r>
      <w:r>
        <w:rPr>
          <w:rFonts w:ascii="Times New Roman" w:hAnsi="Times New Roman" w:cs="Times New Roman"/>
        </w:rPr>
        <w:t xml:space="preserve"> Este debate</w:t>
      </w:r>
      <w:r w:rsidR="006C1FC7">
        <w:rPr>
          <w:rFonts w:ascii="Times New Roman" w:hAnsi="Times New Roman" w:cs="Times New Roman"/>
        </w:rPr>
        <w:t xml:space="preserve"> ha dado pie </w:t>
      </w:r>
      <w:r>
        <w:rPr>
          <w:rFonts w:ascii="Times New Roman" w:hAnsi="Times New Roman" w:cs="Times New Roman"/>
        </w:rPr>
        <w:t>en la última décad</w:t>
      </w:r>
      <w:r w:rsidR="006C1FC7">
        <w:rPr>
          <w:rFonts w:ascii="Times New Roman" w:hAnsi="Times New Roman" w:cs="Times New Roman"/>
        </w:rPr>
        <w:t>a</w:t>
      </w:r>
      <w:r>
        <w:rPr>
          <w:rFonts w:ascii="Times New Roman" w:hAnsi="Times New Roman" w:cs="Times New Roman"/>
        </w:rPr>
        <w:t xml:space="preserve"> a</w:t>
      </w:r>
      <w:r w:rsidR="00447A21">
        <w:rPr>
          <w:rFonts w:ascii="Times New Roman" w:hAnsi="Times New Roman" w:cs="Times New Roman"/>
        </w:rPr>
        <w:t xml:space="preserve"> </w:t>
      </w:r>
      <w:r w:rsidR="006C1FC7">
        <w:rPr>
          <w:rFonts w:ascii="Times New Roman" w:hAnsi="Times New Roman" w:cs="Times New Roman"/>
        </w:rPr>
        <w:t>discusiones multilaterales desde la Asamblea General de las Naciones Unidas</w:t>
      </w:r>
      <w:r w:rsidR="006C1FC7">
        <w:rPr>
          <w:rStyle w:val="Refdenotaalpie"/>
          <w:rFonts w:ascii="Times New Roman" w:hAnsi="Times New Roman" w:cs="Times New Roman"/>
        </w:rPr>
        <w:footnoteReference w:id="30"/>
      </w:r>
      <w:r w:rsidR="006C1FC7">
        <w:rPr>
          <w:rFonts w:ascii="Times New Roman" w:hAnsi="Times New Roman" w:cs="Times New Roman"/>
        </w:rPr>
        <w:t xml:space="preserve"> y</w:t>
      </w:r>
      <w:r w:rsidR="0020628C">
        <w:rPr>
          <w:rFonts w:ascii="Times New Roman" w:hAnsi="Times New Roman" w:cs="Times New Roman"/>
        </w:rPr>
        <w:t xml:space="preserve"> a</w:t>
      </w:r>
      <w:r w:rsidR="006C1FC7">
        <w:rPr>
          <w:rFonts w:ascii="Times New Roman" w:hAnsi="Times New Roman" w:cs="Times New Roman"/>
        </w:rPr>
        <w:t xml:space="preserve"> pronunciamientos por parte del Alto Comisionado de Derechos Humanos de Naciones Unidas.</w:t>
      </w:r>
      <w:r w:rsidR="006C1FC7">
        <w:rPr>
          <w:rStyle w:val="Refdenotaalpie"/>
          <w:rFonts w:ascii="Times New Roman" w:hAnsi="Times New Roman" w:cs="Times New Roman"/>
        </w:rPr>
        <w:footnoteReference w:id="31"/>
      </w:r>
      <w:r w:rsidR="0020628C">
        <w:rPr>
          <w:rFonts w:ascii="Times New Roman" w:hAnsi="Times New Roman" w:cs="Times New Roman"/>
        </w:rPr>
        <w:t xml:space="preserve"> </w:t>
      </w:r>
    </w:p>
    <w:p w:rsidR="00631741" w:rsidRPr="00631741" w:rsidRDefault="004B6617" w:rsidP="002D7571">
      <w:pPr>
        <w:jc w:val="both"/>
        <w:rPr>
          <w:rFonts w:ascii="Times New Roman" w:hAnsi="Times New Roman" w:cs="Times New Roman"/>
          <w:i/>
        </w:rPr>
      </w:pPr>
      <w:r>
        <w:rPr>
          <w:rFonts w:ascii="Times New Roman" w:hAnsi="Times New Roman" w:cs="Times New Roman"/>
        </w:rPr>
        <w:t xml:space="preserve">Asimismo, se ha puesto a discusión </w:t>
      </w:r>
      <w:r w:rsidR="0020628C">
        <w:rPr>
          <w:rFonts w:ascii="Times New Roman" w:hAnsi="Times New Roman" w:cs="Times New Roman"/>
        </w:rPr>
        <w:t xml:space="preserve">la prevalencia del </w:t>
      </w:r>
      <w:r w:rsidR="0020628C" w:rsidRPr="008E6673">
        <w:rPr>
          <w:rFonts w:ascii="Times New Roman" w:hAnsi="Times New Roman" w:cs="Times New Roman"/>
          <w:i/>
        </w:rPr>
        <w:t xml:space="preserve">Derecho Internacional de los Derechos </w:t>
      </w:r>
      <w:r w:rsidR="00631741" w:rsidRPr="008E6673">
        <w:rPr>
          <w:rFonts w:ascii="Times New Roman" w:hAnsi="Times New Roman" w:cs="Times New Roman"/>
          <w:i/>
        </w:rPr>
        <w:t>Humanos</w:t>
      </w:r>
      <w:r w:rsidR="00631741">
        <w:rPr>
          <w:rFonts w:ascii="Times New Roman" w:hAnsi="Times New Roman" w:cs="Times New Roman"/>
        </w:rPr>
        <w:t xml:space="preserve"> frente a </w:t>
      </w:r>
      <w:r w:rsidR="0020628C">
        <w:rPr>
          <w:rFonts w:ascii="Times New Roman" w:hAnsi="Times New Roman" w:cs="Times New Roman"/>
        </w:rPr>
        <w:t>la política de fiscalización de drogas</w:t>
      </w:r>
      <w:r w:rsidR="00631741">
        <w:rPr>
          <w:rFonts w:ascii="Times New Roman" w:hAnsi="Times New Roman" w:cs="Times New Roman"/>
        </w:rPr>
        <w:t xml:space="preserve"> conformada por la </w:t>
      </w:r>
      <w:r w:rsidR="00631741" w:rsidRPr="00631741">
        <w:rPr>
          <w:rFonts w:ascii="Times New Roman" w:hAnsi="Times New Roman" w:cs="Times New Roman"/>
          <w:i/>
        </w:rPr>
        <w:t>Convención de Naciones Unidas sobre Estupefacientes de 1961</w:t>
      </w:r>
      <w:r w:rsidR="00631741">
        <w:rPr>
          <w:rFonts w:ascii="Times New Roman" w:hAnsi="Times New Roman" w:cs="Times New Roman"/>
        </w:rPr>
        <w:t xml:space="preserve">, </w:t>
      </w:r>
      <w:r w:rsidR="00631741" w:rsidRPr="00631741">
        <w:rPr>
          <w:rFonts w:ascii="Times New Roman" w:hAnsi="Times New Roman" w:cs="Times New Roman"/>
          <w:i/>
        </w:rPr>
        <w:t>la Convención sobre Sustancias Psicotrópicas de 1971</w:t>
      </w:r>
      <w:r w:rsidR="00631741">
        <w:rPr>
          <w:rFonts w:ascii="Times New Roman" w:hAnsi="Times New Roman" w:cs="Times New Roman"/>
        </w:rPr>
        <w:t xml:space="preserve"> y </w:t>
      </w:r>
      <w:r w:rsidR="00631741" w:rsidRPr="00631741">
        <w:rPr>
          <w:rFonts w:ascii="Times New Roman" w:hAnsi="Times New Roman" w:cs="Times New Roman"/>
          <w:i/>
        </w:rPr>
        <w:t>Convención contra el Tráfico lícito de Estupefacientes y Sustancias Sicotrópicas de 1988.</w:t>
      </w:r>
    </w:p>
    <w:p w:rsidR="00631741" w:rsidRDefault="0020628C" w:rsidP="002D7571">
      <w:pPr>
        <w:jc w:val="both"/>
        <w:rPr>
          <w:rFonts w:ascii="Times New Roman" w:hAnsi="Times New Roman" w:cs="Times New Roman"/>
        </w:rPr>
      </w:pPr>
      <w:r>
        <w:rPr>
          <w:rFonts w:ascii="Times New Roman" w:hAnsi="Times New Roman" w:cs="Times New Roman"/>
        </w:rPr>
        <w:t xml:space="preserve">Al respecto, Rodrigo Uprimny Yepes </w:t>
      </w:r>
      <w:r w:rsidR="008E6673">
        <w:rPr>
          <w:rFonts w:ascii="Times New Roman" w:hAnsi="Times New Roman" w:cs="Times New Roman"/>
        </w:rPr>
        <w:t xml:space="preserve">ha señalado </w:t>
      </w:r>
      <w:r w:rsidR="006C1FC7">
        <w:rPr>
          <w:rFonts w:ascii="Times New Roman" w:hAnsi="Times New Roman" w:cs="Times New Roman"/>
        </w:rPr>
        <w:t>que: “c</w:t>
      </w:r>
      <w:r w:rsidR="006C1FC7" w:rsidRPr="006C1FC7">
        <w:rPr>
          <w:rFonts w:ascii="Times New Roman" w:hAnsi="Times New Roman" w:cs="Times New Roman"/>
        </w:rPr>
        <w:t>onforme al derecho internacional, las obligaciones de los Estados frente a las drogas deben ser interpretadas en una forma que sea compatible con las obligaciones internacionales en de</w:t>
      </w:r>
      <w:r w:rsidR="006C1FC7">
        <w:rPr>
          <w:rFonts w:ascii="Times New Roman" w:hAnsi="Times New Roman" w:cs="Times New Roman"/>
        </w:rPr>
        <w:t>rechos humanos, y no viceversa.”</w:t>
      </w:r>
      <w:r w:rsidR="006C1FC7">
        <w:rPr>
          <w:rStyle w:val="Refdenotaalpie"/>
          <w:rFonts w:ascii="Times New Roman" w:hAnsi="Times New Roman" w:cs="Times New Roman"/>
        </w:rPr>
        <w:footnoteReference w:id="32"/>
      </w:r>
      <w:r w:rsidR="008E6673">
        <w:rPr>
          <w:rFonts w:ascii="Times New Roman" w:hAnsi="Times New Roman" w:cs="Times New Roman"/>
        </w:rPr>
        <w:t xml:space="preserve"> E</w:t>
      </w:r>
      <w:r w:rsidR="004B6617">
        <w:rPr>
          <w:rFonts w:ascii="Times New Roman" w:hAnsi="Times New Roman" w:cs="Times New Roman"/>
        </w:rPr>
        <w:t>sto con fundamento en e</w:t>
      </w:r>
      <w:r w:rsidR="008E6673">
        <w:rPr>
          <w:rFonts w:ascii="Times New Roman" w:hAnsi="Times New Roman" w:cs="Times New Roman"/>
        </w:rPr>
        <w:t xml:space="preserve">l artículo 103 de la </w:t>
      </w:r>
      <w:r w:rsidR="008E6673" w:rsidRPr="004B6617">
        <w:rPr>
          <w:rFonts w:ascii="Times New Roman" w:hAnsi="Times New Roman" w:cs="Times New Roman"/>
          <w:i/>
        </w:rPr>
        <w:t>Carta</w:t>
      </w:r>
      <w:r w:rsidR="008E6673">
        <w:rPr>
          <w:rFonts w:ascii="Times New Roman" w:hAnsi="Times New Roman" w:cs="Times New Roman"/>
        </w:rPr>
        <w:t xml:space="preserve"> </w:t>
      </w:r>
      <w:r w:rsidR="008E6673" w:rsidRPr="004B6617">
        <w:rPr>
          <w:rFonts w:ascii="Times New Roman" w:hAnsi="Times New Roman" w:cs="Times New Roman"/>
          <w:i/>
        </w:rPr>
        <w:t xml:space="preserve">de Naciones </w:t>
      </w:r>
      <w:r w:rsidR="00631741" w:rsidRPr="004B6617">
        <w:rPr>
          <w:rFonts w:ascii="Times New Roman" w:hAnsi="Times New Roman" w:cs="Times New Roman"/>
          <w:i/>
        </w:rPr>
        <w:t>Unidas</w:t>
      </w:r>
      <w:r w:rsidR="00631741">
        <w:rPr>
          <w:rFonts w:ascii="Times New Roman" w:hAnsi="Times New Roman" w:cs="Times New Roman"/>
        </w:rPr>
        <w:t xml:space="preserve"> donde en caso de conflicto entre las obligaciones contraídas en virtud de otro conven</w:t>
      </w:r>
      <w:r w:rsidR="004B6617">
        <w:rPr>
          <w:rFonts w:ascii="Times New Roman" w:hAnsi="Times New Roman" w:cs="Times New Roman"/>
        </w:rPr>
        <w:t>io internacional, prevalecen los deberes emanados</w:t>
      </w:r>
      <w:r w:rsidR="00631741">
        <w:rPr>
          <w:rFonts w:ascii="Times New Roman" w:hAnsi="Times New Roman" w:cs="Times New Roman"/>
        </w:rPr>
        <w:t xml:space="preserve"> de la Ca</w:t>
      </w:r>
      <w:r w:rsidR="004B6617">
        <w:rPr>
          <w:rFonts w:ascii="Times New Roman" w:hAnsi="Times New Roman" w:cs="Times New Roman"/>
        </w:rPr>
        <w:t>rta, los cuales</w:t>
      </w:r>
      <w:r w:rsidR="00631741">
        <w:rPr>
          <w:rFonts w:ascii="Times New Roman" w:hAnsi="Times New Roman" w:cs="Times New Roman"/>
        </w:rPr>
        <w:t xml:space="preserve"> incluye</w:t>
      </w:r>
      <w:r w:rsidR="004B6617">
        <w:rPr>
          <w:rFonts w:ascii="Times New Roman" w:hAnsi="Times New Roman" w:cs="Times New Roman"/>
        </w:rPr>
        <w:t>n</w:t>
      </w:r>
      <w:r w:rsidR="00631741">
        <w:rPr>
          <w:rFonts w:ascii="Times New Roman" w:hAnsi="Times New Roman" w:cs="Times New Roman"/>
        </w:rPr>
        <w:t xml:space="preserve"> como pilar</w:t>
      </w:r>
      <w:r w:rsidR="004B6617">
        <w:rPr>
          <w:rFonts w:ascii="Times New Roman" w:hAnsi="Times New Roman" w:cs="Times New Roman"/>
        </w:rPr>
        <w:t xml:space="preserve"> de la misma,</w:t>
      </w:r>
      <w:r w:rsidR="00631741">
        <w:rPr>
          <w:rFonts w:ascii="Times New Roman" w:hAnsi="Times New Roman" w:cs="Times New Roman"/>
        </w:rPr>
        <w:t xml:space="preserve"> el respeto de los de</w:t>
      </w:r>
      <w:r w:rsidR="004B6617">
        <w:rPr>
          <w:rFonts w:ascii="Times New Roman" w:hAnsi="Times New Roman" w:cs="Times New Roman"/>
        </w:rPr>
        <w:t>rechos humanos.</w:t>
      </w:r>
      <w:r w:rsidR="004B6617">
        <w:rPr>
          <w:rStyle w:val="Refdenotaalpie"/>
          <w:rFonts w:ascii="Times New Roman" w:hAnsi="Times New Roman" w:cs="Times New Roman"/>
        </w:rPr>
        <w:footnoteReference w:id="33"/>
      </w:r>
    </w:p>
    <w:p w:rsidR="00E77A43" w:rsidRPr="004B6617" w:rsidRDefault="004B6617" w:rsidP="004B6617">
      <w:pPr>
        <w:jc w:val="both"/>
        <w:rPr>
          <w:rFonts w:ascii="Times New Roman" w:hAnsi="Times New Roman" w:cs="Times New Roman"/>
        </w:rPr>
      </w:pPr>
      <w:r>
        <w:rPr>
          <w:rFonts w:ascii="Times New Roman" w:hAnsi="Times New Roman" w:cs="Times New Roman"/>
        </w:rPr>
        <w:t xml:space="preserve">En cuanto a la relación entre el derecho a la privación de la libertad y la política de fiscalización de drogas, </w:t>
      </w:r>
      <w:r w:rsidR="00E77A43" w:rsidRPr="00856766">
        <w:rPr>
          <w:rFonts w:ascii="Times New Roman" w:hAnsi="Times New Roman" w:cs="Times New Roman"/>
          <w:color w:val="auto"/>
        </w:rPr>
        <w:t xml:space="preserve">el </w:t>
      </w:r>
      <w:r w:rsidR="00E77A43" w:rsidRPr="008A16C4">
        <w:rPr>
          <w:rFonts w:ascii="Times New Roman" w:hAnsi="Times New Roman" w:cs="Times New Roman"/>
          <w:i/>
          <w:color w:val="auto"/>
        </w:rPr>
        <w:t xml:space="preserve">Grupo de Trabajo sobre la Detención Arbitraria </w:t>
      </w:r>
      <w:r w:rsidR="00E77A43" w:rsidRPr="008A16C4">
        <w:rPr>
          <w:rFonts w:ascii="Times New Roman" w:hAnsi="Times New Roman" w:cs="Times New Roman"/>
          <w:color w:val="auto"/>
        </w:rPr>
        <w:t>ha señalado su preocupación por:</w:t>
      </w:r>
    </w:p>
    <w:p w:rsidR="00E77A43" w:rsidRDefault="00E77A43" w:rsidP="00447A21">
      <w:pPr>
        <w:pStyle w:val="Sinespaciado"/>
        <w:ind w:left="567" w:right="567"/>
        <w:jc w:val="both"/>
        <w:rPr>
          <w:rFonts w:ascii="Times New Roman" w:hAnsi="Times New Roman" w:cs="Times New Roman"/>
          <w:i w:val="0"/>
          <w:color w:val="auto"/>
          <w:sz w:val="20"/>
          <w:szCs w:val="20"/>
        </w:rPr>
      </w:pPr>
      <w:r w:rsidRPr="008A16C4">
        <w:rPr>
          <w:rFonts w:ascii="Times New Roman" w:hAnsi="Times New Roman" w:cs="Times New Roman"/>
          <w:i w:val="0"/>
          <w:color w:val="auto"/>
          <w:sz w:val="20"/>
          <w:szCs w:val="20"/>
        </w:rPr>
        <w:t xml:space="preserve">“[…] el uso de la reclusión penal como medida de fiscalización de drogas tras la imputación de los cargos de consumo, posesión, fabricación o tráfico de drogas. Diversos instrumentos </w:t>
      </w:r>
      <w:r w:rsidRPr="008A16C4">
        <w:rPr>
          <w:rFonts w:ascii="Times New Roman" w:hAnsi="Times New Roman" w:cs="Times New Roman"/>
          <w:i w:val="0"/>
          <w:color w:val="auto"/>
          <w:sz w:val="20"/>
          <w:szCs w:val="20"/>
        </w:rPr>
        <w:lastRenderedPageBreak/>
        <w:t xml:space="preserve">regionales e internacionales de derechos humanos establecen normas jurídicas para la reclusión por motivos penales, entre ellas las garantías procesales mínimas. Estas normas se aplican </w:t>
      </w:r>
      <w:r w:rsidR="008A16C4" w:rsidRPr="008A16C4">
        <w:rPr>
          <w:rFonts w:ascii="Times New Roman" w:hAnsi="Times New Roman" w:cs="Times New Roman"/>
          <w:i w:val="0"/>
          <w:color w:val="auto"/>
          <w:sz w:val="20"/>
          <w:szCs w:val="20"/>
        </w:rPr>
        <w:t>igualmente,</w:t>
      </w:r>
      <w:r w:rsidRPr="008A16C4">
        <w:rPr>
          <w:rFonts w:ascii="Times New Roman" w:hAnsi="Times New Roman" w:cs="Times New Roman"/>
          <w:i w:val="0"/>
          <w:color w:val="auto"/>
          <w:sz w:val="20"/>
          <w:szCs w:val="20"/>
        </w:rPr>
        <w:t xml:space="preserve"> en los casos de reclusión penal por delitos relacionados con las drogas. Las leyes y medidas penales aplicadas en el marco del actual sistema punitivo de fiscalización internacional de drogas plantean importantes cuestiones de legalidad, proporcionalidad, necesidad e idoneidad”.</w:t>
      </w:r>
    </w:p>
    <w:p w:rsidR="008A16C4" w:rsidRDefault="008A16C4" w:rsidP="008A16C4">
      <w:pPr>
        <w:pStyle w:val="Sinespaciado"/>
        <w:ind w:right="567"/>
        <w:jc w:val="both"/>
        <w:rPr>
          <w:rFonts w:ascii="Times New Roman" w:hAnsi="Times New Roman" w:cs="Times New Roman"/>
          <w:i w:val="0"/>
          <w:color w:val="auto"/>
          <w:sz w:val="20"/>
          <w:szCs w:val="20"/>
        </w:rPr>
      </w:pPr>
    </w:p>
    <w:p w:rsidR="008A16C4" w:rsidRDefault="008A16C4" w:rsidP="008A16C4">
      <w:pPr>
        <w:pStyle w:val="Sinespaciado"/>
        <w:spacing w:line="276" w:lineRule="auto"/>
        <w:jc w:val="both"/>
        <w:rPr>
          <w:rFonts w:ascii="Times New Roman" w:hAnsi="Times New Roman" w:cs="Times New Roman"/>
          <w:i w:val="0"/>
          <w:color w:val="auto"/>
          <w:sz w:val="22"/>
        </w:rPr>
      </w:pPr>
      <w:r w:rsidRPr="008A16C4">
        <w:rPr>
          <w:rFonts w:ascii="Times New Roman" w:hAnsi="Times New Roman" w:cs="Times New Roman"/>
          <w:i w:val="0"/>
          <w:color w:val="auto"/>
          <w:sz w:val="22"/>
        </w:rPr>
        <w:t>Respecto a dicho retos y otros que emanan de las políticas de drogas y los efectos que estas tienen en los derechos humanos</w:t>
      </w:r>
      <w:r>
        <w:rPr>
          <w:rFonts w:ascii="Times New Roman" w:hAnsi="Times New Roman" w:cs="Times New Roman"/>
          <w:i w:val="0"/>
          <w:color w:val="auto"/>
          <w:sz w:val="22"/>
        </w:rPr>
        <w:t>, recientemente un grupo de personas expertas bajo la coordinación de bajo la coordinación del Programa de Naciones Unidas para el Desarrollo (PNUD)</w:t>
      </w:r>
      <w:r w:rsidRPr="008A16C4">
        <w:rPr>
          <w:rFonts w:ascii="Times New Roman" w:hAnsi="Times New Roman" w:cs="Times New Roman"/>
          <w:i w:val="0"/>
          <w:color w:val="auto"/>
          <w:sz w:val="22"/>
        </w:rPr>
        <w:t xml:space="preserve"> y del Centro Internacional de Derechos Humanos y Política de Dr</w:t>
      </w:r>
      <w:r>
        <w:rPr>
          <w:rFonts w:ascii="Times New Roman" w:hAnsi="Times New Roman" w:cs="Times New Roman"/>
          <w:i w:val="0"/>
          <w:color w:val="auto"/>
          <w:sz w:val="22"/>
        </w:rPr>
        <w:t>ogas de la Universidad de Essex</w:t>
      </w:r>
      <w:r w:rsidR="00D66EF3">
        <w:rPr>
          <w:rFonts w:ascii="Times New Roman" w:hAnsi="Times New Roman" w:cs="Times New Roman"/>
          <w:i w:val="0"/>
          <w:color w:val="auto"/>
          <w:sz w:val="22"/>
        </w:rPr>
        <w:t xml:space="preserve"> y con el apoyo de la O</w:t>
      </w:r>
      <w:r w:rsidR="00F31721">
        <w:rPr>
          <w:rFonts w:ascii="Times New Roman" w:hAnsi="Times New Roman" w:cs="Times New Roman"/>
          <w:i w:val="0"/>
          <w:color w:val="auto"/>
          <w:sz w:val="22"/>
        </w:rPr>
        <w:t>rganización Mundial de la Salud</w:t>
      </w:r>
      <w:r w:rsidR="00D66EF3">
        <w:rPr>
          <w:rFonts w:ascii="Times New Roman" w:hAnsi="Times New Roman" w:cs="Times New Roman"/>
          <w:i w:val="0"/>
          <w:color w:val="auto"/>
          <w:sz w:val="22"/>
        </w:rPr>
        <w:t xml:space="preserve">, se construyeron </w:t>
      </w:r>
      <w:r>
        <w:rPr>
          <w:rFonts w:ascii="Times New Roman" w:hAnsi="Times New Roman" w:cs="Times New Roman"/>
          <w:i w:val="0"/>
          <w:color w:val="auto"/>
          <w:sz w:val="22"/>
        </w:rPr>
        <w:t xml:space="preserve"> las </w:t>
      </w:r>
      <w:r w:rsidRPr="008A16C4">
        <w:rPr>
          <w:rFonts w:ascii="Times New Roman" w:hAnsi="Times New Roman" w:cs="Times New Roman"/>
          <w:color w:val="auto"/>
          <w:sz w:val="22"/>
        </w:rPr>
        <w:t>“Directrices internacionales sobre derecho</w:t>
      </w:r>
      <w:r>
        <w:rPr>
          <w:rFonts w:ascii="Times New Roman" w:hAnsi="Times New Roman" w:cs="Times New Roman"/>
          <w:color w:val="auto"/>
          <w:sz w:val="22"/>
        </w:rPr>
        <w:t xml:space="preserve">s humanos y política de drogas”, </w:t>
      </w:r>
      <w:r>
        <w:rPr>
          <w:rFonts w:ascii="Times New Roman" w:hAnsi="Times New Roman" w:cs="Times New Roman"/>
          <w:i w:val="0"/>
          <w:color w:val="auto"/>
          <w:sz w:val="22"/>
        </w:rPr>
        <w:t>las cuales se presentan como “</w:t>
      </w:r>
      <w:r w:rsidRPr="008A16C4">
        <w:rPr>
          <w:rFonts w:ascii="Times New Roman" w:hAnsi="Times New Roman" w:cs="Times New Roman"/>
          <w:i w:val="0"/>
          <w:color w:val="auto"/>
          <w:sz w:val="22"/>
        </w:rPr>
        <w:t>una síntesis autorizada del marco jurídico de derechos humanos que los Estados deben respetar en sus políticas frente a las drogas.</w:t>
      </w:r>
      <w:r>
        <w:rPr>
          <w:rFonts w:ascii="Times New Roman" w:hAnsi="Times New Roman" w:cs="Times New Roman"/>
          <w:i w:val="0"/>
          <w:color w:val="auto"/>
          <w:sz w:val="22"/>
        </w:rPr>
        <w:t>” Como parte del contenido de dichas Directrices se desprenden</w:t>
      </w:r>
      <w:r w:rsidR="004C641E">
        <w:rPr>
          <w:rFonts w:ascii="Times New Roman" w:hAnsi="Times New Roman" w:cs="Times New Roman"/>
          <w:i w:val="0"/>
          <w:color w:val="auto"/>
          <w:sz w:val="22"/>
        </w:rPr>
        <w:t xml:space="preserve"> los principios de dignidad humana, de igualdad y no discriminación, así como</w:t>
      </w:r>
      <w:r>
        <w:rPr>
          <w:rFonts w:ascii="Times New Roman" w:hAnsi="Times New Roman" w:cs="Times New Roman"/>
          <w:i w:val="0"/>
          <w:color w:val="auto"/>
          <w:sz w:val="22"/>
        </w:rPr>
        <w:t xml:space="preserve"> deberes específicos respecto</w:t>
      </w:r>
      <w:r w:rsidR="004C641E">
        <w:rPr>
          <w:rFonts w:ascii="Times New Roman" w:hAnsi="Times New Roman" w:cs="Times New Roman"/>
          <w:i w:val="0"/>
          <w:color w:val="auto"/>
          <w:sz w:val="22"/>
        </w:rPr>
        <w:t xml:space="preserve"> al derecho a un juicio justo y</w:t>
      </w:r>
      <w:r>
        <w:rPr>
          <w:rFonts w:ascii="Times New Roman" w:hAnsi="Times New Roman" w:cs="Times New Roman"/>
          <w:i w:val="0"/>
          <w:color w:val="auto"/>
          <w:sz w:val="22"/>
        </w:rPr>
        <w:t xml:space="preserve"> al d</w:t>
      </w:r>
      <w:r w:rsidRPr="008A16C4">
        <w:rPr>
          <w:rFonts w:ascii="Times New Roman" w:hAnsi="Times New Roman" w:cs="Times New Roman"/>
          <w:i w:val="0"/>
          <w:color w:val="auto"/>
          <w:sz w:val="22"/>
        </w:rPr>
        <w:t>erecho a no ser sometido a</w:t>
      </w:r>
      <w:r>
        <w:rPr>
          <w:rFonts w:ascii="Times New Roman" w:hAnsi="Times New Roman" w:cs="Times New Roman"/>
          <w:i w:val="0"/>
          <w:color w:val="auto"/>
          <w:sz w:val="22"/>
        </w:rPr>
        <w:t xml:space="preserve"> detención y prisión arbitraria</w:t>
      </w:r>
      <w:r w:rsidR="004C641E">
        <w:rPr>
          <w:rFonts w:ascii="Times New Roman" w:hAnsi="Times New Roman" w:cs="Times New Roman"/>
          <w:i w:val="0"/>
          <w:color w:val="auto"/>
          <w:sz w:val="22"/>
        </w:rPr>
        <w:t xml:space="preserve">. Sobre este último derecho destacan obligaciones específicas que pueden ser aplicadas para los casos de los señores </w:t>
      </w:r>
      <w:r w:rsidR="004C641E" w:rsidRPr="00D66EF3">
        <w:rPr>
          <w:rFonts w:ascii="Times New Roman" w:hAnsi="Times New Roman" w:cs="Times New Roman"/>
          <w:color w:val="auto"/>
          <w:sz w:val="22"/>
        </w:rPr>
        <w:t>Fernández Prieto</w:t>
      </w:r>
      <w:r w:rsidR="004C641E">
        <w:rPr>
          <w:rFonts w:ascii="Times New Roman" w:hAnsi="Times New Roman" w:cs="Times New Roman"/>
          <w:i w:val="0"/>
          <w:color w:val="auto"/>
          <w:sz w:val="22"/>
        </w:rPr>
        <w:t xml:space="preserve"> y </w:t>
      </w:r>
      <w:r w:rsidR="004C641E" w:rsidRPr="00D66EF3">
        <w:rPr>
          <w:rFonts w:ascii="Times New Roman" w:hAnsi="Times New Roman" w:cs="Times New Roman"/>
          <w:color w:val="auto"/>
          <w:sz w:val="22"/>
        </w:rPr>
        <w:t>Tumbeiro</w:t>
      </w:r>
      <w:r w:rsidR="004C641E">
        <w:rPr>
          <w:rFonts w:ascii="Times New Roman" w:hAnsi="Times New Roman" w:cs="Times New Roman"/>
          <w:i w:val="0"/>
          <w:color w:val="auto"/>
          <w:sz w:val="22"/>
        </w:rPr>
        <w:t>, entre las cuales destacan:</w:t>
      </w:r>
    </w:p>
    <w:p w:rsidR="008A16C4" w:rsidRPr="004C641E" w:rsidRDefault="008A16C4" w:rsidP="00EA2829">
      <w:pPr>
        <w:pStyle w:val="Sinespaciado"/>
        <w:spacing w:line="276" w:lineRule="auto"/>
        <w:ind w:left="567" w:right="567"/>
        <w:jc w:val="both"/>
        <w:rPr>
          <w:rFonts w:ascii="Times New Roman" w:hAnsi="Times New Roman" w:cs="Times New Roman"/>
          <w:i w:val="0"/>
          <w:color w:val="auto"/>
          <w:sz w:val="22"/>
        </w:rPr>
      </w:pPr>
    </w:p>
    <w:p w:rsidR="008A16C4" w:rsidRPr="003D64E3" w:rsidRDefault="008A16C4" w:rsidP="00EA2829">
      <w:pPr>
        <w:pStyle w:val="Sinespaciado"/>
        <w:spacing w:line="276" w:lineRule="auto"/>
        <w:ind w:left="567" w:right="567"/>
        <w:jc w:val="both"/>
        <w:rPr>
          <w:rFonts w:ascii="Times New Roman" w:hAnsi="Times New Roman" w:cs="Times New Roman"/>
          <w:i w:val="0"/>
          <w:color w:val="auto"/>
          <w:sz w:val="20"/>
        </w:rPr>
      </w:pPr>
      <w:r w:rsidRPr="003D64E3">
        <w:rPr>
          <w:rFonts w:ascii="Times New Roman" w:hAnsi="Times New Roman" w:cs="Times New Roman"/>
          <w:i w:val="0"/>
          <w:color w:val="auto"/>
          <w:sz w:val="20"/>
        </w:rPr>
        <w:t>“Toda persona tiene derecho a la libertad y a la seguridad personal y, por consiguiente, a no ser detenida o encarcelada arbitrariamente. Nadie podrá ser privado de su libertad salvo por los motivos que se basen en procedimientos que establezca la ley. Esos derechos se aplican por igual a toda persona que se sepa o sospeche que ha usado drogas, así como a toda persona sospechosa de haber cometido un delito relacionado con drogas […]</w:t>
      </w:r>
    </w:p>
    <w:p w:rsidR="008A16C4" w:rsidRPr="003D64E3" w:rsidRDefault="003D64E3" w:rsidP="003D64E3">
      <w:pPr>
        <w:pStyle w:val="Prrafodelista"/>
        <w:ind w:left="567" w:right="567"/>
        <w:jc w:val="both"/>
        <w:rPr>
          <w:rFonts w:ascii="Times New Roman" w:hAnsi="Times New Roman" w:cs="Times New Roman"/>
          <w:sz w:val="20"/>
        </w:rPr>
      </w:pPr>
      <w:r w:rsidRPr="003D64E3">
        <w:rPr>
          <w:rFonts w:ascii="Times New Roman" w:hAnsi="Times New Roman" w:cs="Times New Roman"/>
          <w:sz w:val="20"/>
        </w:rPr>
        <w:t xml:space="preserve">i. </w:t>
      </w:r>
      <w:r w:rsidR="008A16C4" w:rsidRPr="003D64E3">
        <w:rPr>
          <w:rFonts w:ascii="Times New Roman" w:hAnsi="Times New Roman" w:cs="Times New Roman"/>
          <w:sz w:val="20"/>
        </w:rPr>
        <w:t>Garantizar que las personas no sean detenidas únicamente por uso de drogas o dependencia de drogas.</w:t>
      </w:r>
    </w:p>
    <w:p w:rsidR="004C641E" w:rsidRPr="003D64E3" w:rsidRDefault="003D64E3" w:rsidP="003D64E3">
      <w:pPr>
        <w:pStyle w:val="Prrafodelista"/>
        <w:ind w:left="567" w:right="567"/>
        <w:jc w:val="both"/>
        <w:rPr>
          <w:rFonts w:ascii="Times New Roman" w:hAnsi="Times New Roman" w:cs="Times New Roman"/>
          <w:sz w:val="20"/>
        </w:rPr>
      </w:pPr>
      <w:r w:rsidRPr="003D64E3">
        <w:rPr>
          <w:rFonts w:ascii="Times New Roman" w:hAnsi="Times New Roman" w:cs="Times New Roman"/>
          <w:sz w:val="20"/>
        </w:rPr>
        <w:t xml:space="preserve">ii. </w:t>
      </w:r>
      <w:r w:rsidR="008A16C4" w:rsidRPr="003D64E3">
        <w:rPr>
          <w:rFonts w:ascii="Times New Roman" w:hAnsi="Times New Roman" w:cs="Times New Roman"/>
          <w:sz w:val="20"/>
        </w:rPr>
        <w:t xml:space="preserve">Garantizar que la detención preventiva nunca sea obligatoria para los cargos relacionados con las drogas y se imponga sólo en circunstancias excepcionales en las que dicha detención se considere razonable, necesaria y proporcional. Además, los Estados deberían: </w:t>
      </w:r>
    </w:p>
    <w:p w:rsidR="00D66EF3" w:rsidRPr="003D64E3" w:rsidRDefault="008A16C4" w:rsidP="003D64E3">
      <w:pPr>
        <w:pStyle w:val="Prrafodelista"/>
        <w:ind w:left="567" w:right="567"/>
        <w:jc w:val="both"/>
        <w:rPr>
          <w:rFonts w:ascii="Times New Roman" w:hAnsi="Times New Roman" w:cs="Times New Roman"/>
          <w:sz w:val="20"/>
        </w:rPr>
      </w:pPr>
      <w:r w:rsidRPr="003D64E3">
        <w:rPr>
          <w:rFonts w:ascii="Times New Roman" w:hAnsi="Times New Roman" w:cs="Times New Roman"/>
          <w:sz w:val="20"/>
        </w:rPr>
        <w:t xml:space="preserve">iii. Garantizar que las personas arrestadas, detenidas o condenadas por delitos relacionados con drogas puedan beneficiarse de la aplicación de medidas no privativas de la libertad – como la libertad bajo fianza u otras alternativas a la detención preventiva; la reducción o suspensión de la pena; la libertad condicional; y el indulto </w:t>
      </w:r>
      <w:r w:rsidR="004C641E" w:rsidRPr="003D64E3">
        <w:rPr>
          <w:rFonts w:ascii="Times New Roman" w:hAnsi="Times New Roman" w:cs="Times New Roman"/>
          <w:sz w:val="20"/>
        </w:rPr>
        <w:t>o la amnistía – de las que disfrutan</w:t>
      </w:r>
      <w:r w:rsidRPr="003D64E3">
        <w:rPr>
          <w:rFonts w:ascii="Times New Roman" w:hAnsi="Times New Roman" w:cs="Times New Roman"/>
          <w:sz w:val="20"/>
        </w:rPr>
        <w:t xml:space="preserve"> las personas que son arrestadas, detenidas o condenadas por otros delitos. </w:t>
      </w:r>
    </w:p>
    <w:p w:rsidR="004C641E" w:rsidRPr="003D64E3" w:rsidRDefault="003D64E3" w:rsidP="003D64E3">
      <w:pPr>
        <w:pStyle w:val="Prrafodelista"/>
        <w:ind w:left="567" w:right="567"/>
        <w:jc w:val="both"/>
        <w:rPr>
          <w:rFonts w:ascii="Times New Roman" w:hAnsi="Times New Roman" w:cs="Times New Roman"/>
          <w:sz w:val="20"/>
        </w:rPr>
      </w:pPr>
      <w:r w:rsidRPr="003D64E3">
        <w:rPr>
          <w:rFonts w:ascii="Times New Roman" w:hAnsi="Times New Roman" w:cs="Times New Roman"/>
          <w:sz w:val="20"/>
        </w:rPr>
        <w:t xml:space="preserve">iv. </w:t>
      </w:r>
      <w:r w:rsidR="008A16C4" w:rsidRPr="003D64E3">
        <w:rPr>
          <w:rFonts w:ascii="Times New Roman" w:hAnsi="Times New Roman" w:cs="Times New Roman"/>
          <w:sz w:val="20"/>
        </w:rPr>
        <w:t xml:space="preserve">Priorizar a la desviación del enjuiciamiento de las personas detenidas por delitos de drogas o delitos relacionados con drogas de carácter menor. </w:t>
      </w:r>
    </w:p>
    <w:p w:rsidR="008A16C4" w:rsidRPr="003D64E3" w:rsidRDefault="003D64E3" w:rsidP="003D64E3">
      <w:pPr>
        <w:pStyle w:val="Prrafodelista"/>
        <w:ind w:left="567" w:right="567"/>
        <w:jc w:val="both"/>
        <w:rPr>
          <w:rFonts w:ascii="Times New Roman" w:hAnsi="Times New Roman" w:cs="Times New Roman"/>
          <w:sz w:val="20"/>
        </w:rPr>
      </w:pPr>
      <w:r w:rsidRPr="003D64E3">
        <w:rPr>
          <w:rFonts w:ascii="Times New Roman" w:hAnsi="Times New Roman" w:cs="Times New Roman"/>
          <w:sz w:val="20"/>
        </w:rPr>
        <w:t xml:space="preserve">v. </w:t>
      </w:r>
      <w:r w:rsidR="008A16C4" w:rsidRPr="003D64E3">
        <w:rPr>
          <w:rFonts w:ascii="Times New Roman" w:hAnsi="Times New Roman" w:cs="Times New Roman"/>
          <w:sz w:val="20"/>
        </w:rPr>
        <w:t>Priorizar a las medidas no privativas de libertad en las fases de condena y posterior a la condena de las personas acusadas o condenadas por delitos relacionados con las drogas o delitos menores relacionados con las drogas</w:t>
      </w:r>
      <w:r w:rsidR="004C641E" w:rsidRPr="003D64E3">
        <w:rPr>
          <w:rFonts w:ascii="Times New Roman" w:hAnsi="Times New Roman" w:cs="Times New Roman"/>
          <w:sz w:val="20"/>
        </w:rPr>
        <w:t xml:space="preserve"> […]”</w:t>
      </w:r>
      <w:r w:rsidR="004C641E" w:rsidRPr="003D64E3">
        <w:rPr>
          <w:rStyle w:val="Refdenotaalpie"/>
          <w:rFonts w:ascii="Times New Roman" w:hAnsi="Times New Roman" w:cs="Times New Roman"/>
          <w:sz w:val="20"/>
        </w:rPr>
        <w:footnoteReference w:id="34"/>
      </w:r>
    </w:p>
    <w:p w:rsidR="00AB54D9" w:rsidRDefault="00D66EF3" w:rsidP="008A16C4">
      <w:pPr>
        <w:jc w:val="both"/>
        <w:rPr>
          <w:rFonts w:ascii="Times New Roman" w:hAnsi="Times New Roman" w:cs="Times New Roman"/>
          <w:szCs w:val="24"/>
        </w:rPr>
      </w:pPr>
      <w:r w:rsidRPr="00447A21">
        <w:rPr>
          <w:rFonts w:ascii="Times New Roman" w:hAnsi="Times New Roman" w:cs="Times New Roman"/>
          <w:szCs w:val="24"/>
        </w:rPr>
        <w:t>Co</w:t>
      </w:r>
      <w:r w:rsidR="00EA2829" w:rsidRPr="00447A21">
        <w:rPr>
          <w:rFonts w:ascii="Times New Roman" w:hAnsi="Times New Roman" w:cs="Times New Roman"/>
          <w:szCs w:val="24"/>
        </w:rPr>
        <w:t>n base en dicha interpretación jurídica, los pronunciamientos expuestos en el presente escrito y el análisis del patrón de detenciones arbitrarias relacionadas con delitos de dro</w:t>
      </w:r>
      <w:r w:rsidR="00F31721">
        <w:rPr>
          <w:rFonts w:ascii="Times New Roman" w:hAnsi="Times New Roman" w:cs="Times New Roman"/>
          <w:szCs w:val="24"/>
        </w:rPr>
        <w:t>gas, le solicitamos a esta Corte IDH</w:t>
      </w:r>
      <w:r w:rsidR="00EA2829" w:rsidRPr="00447A21">
        <w:rPr>
          <w:rFonts w:ascii="Times New Roman" w:hAnsi="Times New Roman" w:cs="Times New Roman"/>
          <w:szCs w:val="24"/>
        </w:rPr>
        <w:t xml:space="preserve"> incorpore en su ejercicio </w:t>
      </w:r>
      <w:r w:rsidR="00447A21" w:rsidRPr="00447A21">
        <w:rPr>
          <w:rFonts w:ascii="Times New Roman" w:hAnsi="Times New Roman" w:cs="Times New Roman"/>
          <w:szCs w:val="24"/>
        </w:rPr>
        <w:t xml:space="preserve">de interpretación para estudiar </w:t>
      </w:r>
      <w:r w:rsidR="00EA2829" w:rsidRPr="00447A21">
        <w:rPr>
          <w:rFonts w:ascii="Times New Roman" w:hAnsi="Times New Roman" w:cs="Times New Roman"/>
          <w:szCs w:val="24"/>
        </w:rPr>
        <w:t>la responsabilidad de Argentina por las violaciones a los derechos contenidos en la CADH, los impactos que la política prohibicionista tienen en casos</w:t>
      </w:r>
      <w:r w:rsidR="00F31721">
        <w:rPr>
          <w:rFonts w:ascii="Times New Roman" w:hAnsi="Times New Roman" w:cs="Times New Roman"/>
          <w:szCs w:val="24"/>
        </w:rPr>
        <w:t xml:space="preserve"> de detenciones arbitrarias  como los</w:t>
      </w:r>
      <w:r w:rsidR="00EA2829" w:rsidRPr="00447A21">
        <w:rPr>
          <w:rFonts w:ascii="Times New Roman" w:hAnsi="Times New Roman" w:cs="Times New Roman"/>
          <w:szCs w:val="24"/>
        </w:rPr>
        <w:t xml:space="preserve"> que actualmente se encuentra</w:t>
      </w:r>
      <w:r w:rsidR="00F31721">
        <w:rPr>
          <w:rFonts w:ascii="Times New Roman" w:hAnsi="Times New Roman" w:cs="Times New Roman"/>
          <w:szCs w:val="24"/>
        </w:rPr>
        <w:t>n</w:t>
      </w:r>
      <w:r w:rsidR="00EA2829" w:rsidRPr="00447A21">
        <w:rPr>
          <w:rFonts w:ascii="Times New Roman" w:hAnsi="Times New Roman" w:cs="Times New Roman"/>
          <w:szCs w:val="24"/>
        </w:rPr>
        <w:t xml:space="preserve"> en sede de este Tribunal.</w:t>
      </w:r>
    </w:p>
    <w:p w:rsidR="00F31721" w:rsidRPr="00F31721" w:rsidRDefault="00F31721" w:rsidP="00F31721">
      <w:pPr>
        <w:pStyle w:val="Elementa2"/>
        <w:numPr>
          <w:ilvl w:val="0"/>
          <w:numId w:val="14"/>
        </w:numPr>
        <w:rPr>
          <w:rFonts w:ascii="Times New Roman" w:hAnsi="Times New Roman"/>
        </w:rPr>
      </w:pPr>
      <w:r w:rsidRPr="00F31721">
        <w:rPr>
          <w:rFonts w:ascii="Times New Roman" w:hAnsi="Times New Roman"/>
        </w:rPr>
        <w:lastRenderedPageBreak/>
        <w:t>Bibliografía</w:t>
      </w:r>
    </w:p>
    <w:p w:rsidR="00F31721" w:rsidRDefault="00F31721" w:rsidP="00F31721">
      <w:pPr>
        <w:pStyle w:val="Elementa2"/>
      </w:pPr>
    </w:p>
    <w:p w:rsidR="00F31721" w:rsidRPr="00E21D2B" w:rsidRDefault="00F31721" w:rsidP="00F31721">
      <w:pPr>
        <w:pStyle w:val="Textonotapie"/>
        <w:jc w:val="both"/>
        <w:rPr>
          <w:rFonts w:ascii="Times New Roman" w:hAnsi="Times New Roman" w:cs="Times New Roman"/>
          <w:sz w:val="22"/>
          <w:szCs w:val="22"/>
        </w:rPr>
      </w:pPr>
    </w:p>
    <w:p w:rsidR="00F31721" w:rsidRPr="008F1221" w:rsidRDefault="00F31721" w:rsidP="008F1221">
      <w:pPr>
        <w:pStyle w:val="Textonotapie"/>
        <w:jc w:val="both"/>
        <w:rPr>
          <w:rFonts w:ascii="Times New Roman" w:hAnsi="Times New Roman" w:cs="Times New Roman"/>
          <w:sz w:val="22"/>
          <w:szCs w:val="22"/>
        </w:rPr>
      </w:pPr>
      <w:r w:rsidRPr="008F1221">
        <w:rPr>
          <w:rFonts w:ascii="Times New Roman" w:hAnsi="Times New Roman" w:cs="Times New Roman"/>
          <w:sz w:val="22"/>
          <w:szCs w:val="22"/>
        </w:rPr>
        <w:t xml:space="preserve">CELS. El impacto de la política de drogas en los derechos humanos. La experiencia del continente americano. Disponible en: </w:t>
      </w:r>
      <w:hyperlink r:id="rId8" w:history="1">
        <w:r w:rsidRPr="008F1221">
          <w:rPr>
            <w:rStyle w:val="Hipervnculo"/>
            <w:rFonts w:ascii="Times New Roman" w:hAnsi="Times New Roman" w:cs="Times New Roman"/>
            <w:sz w:val="22"/>
            <w:szCs w:val="22"/>
          </w:rPr>
          <w:t>https://www.cels.org.ar/web/wp-content/uploads/2016/10/El-impacto-de-las-politicas-de-drogas-en-los-derechos-humanos.-La-experiencia-del-continente-americano..pdf</w:t>
        </w:r>
      </w:hyperlink>
    </w:p>
    <w:p w:rsidR="00F31721" w:rsidRPr="008F1221" w:rsidRDefault="00F31721" w:rsidP="008F1221">
      <w:pPr>
        <w:pStyle w:val="Textonotapie"/>
        <w:jc w:val="both"/>
        <w:rPr>
          <w:rFonts w:ascii="Times New Roman" w:hAnsi="Times New Roman" w:cs="Times New Roman"/>
          <w:sz w:val="22"/>
          <w:szCs w:val="22"/>
        </w:rPr>
      </w:pPr>
    </w:p>
    <w:p w:rsidR="00F31721" w:rsidRPr="008F1221" w:rsidRDefault="00F31721" w:rsidP="008F1221">
      <w:pPr>
        <w:pStyle w:val="Textonotapie"/>
        <w:jc w:val="both"/>
        <w:rPr>
          <w:rFonts w:ascii="Times New Roman" w:hAnsi="Times New Roman" w:cs="Times New Roman"/>
          <w:sz w:val="22"/>
          <w:szCs w:val="22"/>
        </w:rPr>
      </w:pPr>
      <w:r w:rsidRPr="008F1221">
        <w:rPr>
          <w:rFonts w:ascii="Times New Roman" w:hAnsi="Times New Roman" w:cs="Times New Roman"/>
          <w:sz w:val="22"/>
          <w:szCs w:val="22"/>
        </w:rPr>
        <w:t xml:space="preserve">CELS. La Guerra contra el narcotráfico, una guerra contra los pobres. Disponible en: </w:t>
      </w:r>
      <w:hyperlink r:id="rId9" w:history="1">
        <w:r w:rsidRPr="008F1221">
          <w:rPr>
            <w:rStyle w:val="Hipervnculo"/>
            <w:rFonts w:ascii="Times New Roman" w:hAnsi="Times New Roman" w:cs="Times New Roman"/>
            <w:sz w:val="22"/>
            <w:szCs w:val="22"/>
          </w:rPr>
          <w:t>http://www.cels.org.ar/drogas/index.html</w:t>
        </w:r>
      </w:hyperlink>
    </w:p>
    <w:p w:rsidR="00F31721" w:rsidRPr="008F1221" w:rsidRDefault="00F31721" w:rsidP="008F1221">
      <w:pPr>
        <w:pStyle w:val="Textonotapie"/>
        <w:jc w:val="both"/>
        <w:rPr>
          <w:rFonts w:ascii="Times New Roman" w:hAnsi="Times New Roman" w:cs="Times New Roman"/>
          <w:sz w:val="22"/>
          <w:szCs w:val="22"/>
        </w:rPr>
      </w:pPr>
    </w:p>
    <w:p w:rsidR="00F31721" w:rsidRPr="008F1221" w:rsidRDefault="00F31721" w:rsidP="008F1221">
      <w:pPr>
        <w:pStyle w:val="Textonotapie"/>
        <w:jc w:val="both"/>
        <w:rPr>
          <w:rFonts w:ascii="Times New Roman" w:hAnsi="Times New Roman" w:cs="Times New Roman"/>
          <w:sz w:val="22"/>
          <w:szCs w:val="22"/>
        </w:rPr>
      </w:pPr>
      <w:r w:rsidRPr="008F1221">
        <w:rPr>
          <w:rFonts w:ascii="Times New Roman" w:hAnsi="Times New Roman" w:cs="Times New Roman"/>
          <w:sz w:val="22"/>
          <w:szCs w:val="22"/>
        </w:rPr>
        <w:t>CIDH. Informe No. 129/17. Caso 12.315. Informe de Fondo. Carlos Alberto Fernández Prieto y Carlos Alejandro Tumbeiro. Argentina. OEA/Ser.L/V/II.165 Doc. 155 25, octubre 2017.</w:t>
      </w:r>
    </w:p>
    <w:p w:rsidR="00F31721" w:rsidRPr="008F1221" w:rsidRDefault="00F31721" w:rsidP="008F1221">
      <w:pPr>
        <w:pStyle w:val="Textonotapie"/>
        <w:jc w:val="both"/>
        <w:rPr>
          <w:rFonts w:ascii="Times New Roman" w:hAnsi="Times New Roman" w:cs="Times New Roman"/>
          <w:sz w:val="22"/>
          <w:szCs w:val="22"/>
        </w:rPr>
      </w:pPr>
    </w:p>
    <w:p w:rsidR="00F31721" w:rsidRPr="008F1221" w:rsidRDefault="00F31721" w:rsidP="008F1221">
      <w:pPr>
        <w:pStyle w:val="Textonotapie"/>
        <w:jc w:val="both"/>
        <w:rPr>
          <w:rFonts w:ascii="Times New Roman" w:hAnsi="Times New Roman" w:cs="Times New Roman"/>
          <w:sz w:val="22"/>
          <w:szCs w:val="22"/>
        </w:rPr>
      </w:pPr>
      <w:r w:rsidRPr="008F1221">
        <w:rPr>
          <w:rFonts w:ascii="Times New Roman" w:hAnsi="Times New Roman" w:cs="Times New Roman"/>
          <w:sz w:val="22"/>
          <w:szCs w:val="22"/>
        </w:rPr>
        <w:t>Corda Alejandro. Criminalización de los usuarios de drogas en la Argentina en Voces en el Fénix Año 6, Nº 42, EL LABERINTO DEL FAUNO, marzo 2015.</w:t>
      </w:r>
    </w:p>
    <w:p w:rsidR="00F31721" w:rsidRPr="008F1221" w:rsidRDefault="00F31721" w:rsidP="008F1221">
      <w:pPr>
        <w:pStyle w:val="Textonotapie"/>
        <w:jc w:val="both"/>
        <w:rPr>
          <w:rFonts w:ascii="Times New Roman" w:hAnsi="Times New Roman" w:cs="Times New Roman"/>
          <w:sz w:val="22"/>
          <w:szCs w:val="22"/>
        </w:rPr>
      </w:pPr>
    </w:p>
    <w:p w:rsidR="00F31721" w:rsidRPr="008F1221" w:rsidRDefault="00F31721" w:rsidP="008F1221">
      <w:pPr>
        <w:pStyle w:val="Textonotapie"/>
        <w:jc w:val="both"/>
        <w:rPr>
          <w:rFonts w:ascii="Times New Roman" w:hAnsi="Times New Roman" w:cs="Times New Roman"/>
          <w:sz w:val="22"/>
          <w:szCs w:val="22"/>
        </w:rPr>
      </w:pPr>
      <w:r w:rsidRPr="008F1221">
        <w:rPr>
          <w:rFonts w:ascii="Times New Roman" w:hAnsi="Times New Roman" w:cs="Times New Roman"/>
          <w:sz w:val="22"/>
          <w:szCs w:val="22"/>
        </w:rPr>
        <w:t>Corda, Alejandro. La estrategia fallida: encarcelamientos por delitos relacionados con estupefacientes en la Argentina / R. Alejandro Coord.; prólogo de Diana Rossi; Horacio Cattani. - 1a ed. revisada. - Ciudad Autónoma de Buenos Aires: Intercambios Asociación Civil: Universidad de Buenos Aires. Facultad de Ciencias Sociales, 2016.</w:t>
      </w:r>
    </w:p>
    <w:p w:rsidR="00F31721" w:rsidRPr="008F1221" w:rsidRDefault="00F31721" w:rsidP="008F1221">
      <w:pPr>
        <w:pStyle w:val="Textonotapie"/>
        <w:jc w:val="both"/>
        <w:rPr>
          <w:rFonts w:ascii="Times New Roman" w:hAnsi="Times New Roman" w:cs="Times New Roman"/>
          <w:sz w:val="22"/>
          <w:szCs w:val="22"/>
        </w:rPr>
      </w:pPr>
    </w:p>
    <w:p w:rsidR="00F31721" w:rsidRPr="008F1221" w:rsidRDefault="00F31721" w:rsidP="008F1221">
      <w:pPr>
        <w:pStyle w:val="Textonotapie"/>
        <w:jc w:val="both"/>
        <w:rPr>
          <w:rFonts w:ascii="Times New Roman" w:hAnsi="Times New Roman" w:cs="Times New Roman"/>
          <w:sz w:val="22"/>
          <w:szCs w:val="22"/>
        </w:rPr>
      </w:pPr>
      <w:r w:rsidRPr="008F1221">
        <w:rPr>
          <w:rFonts w:ascii="Times New Roman" w:hAnsi="Times New Roman" w:cs="Times New Roman"/>
          <w:sz w:val="22"/>
          <w:szCs w:val="22"/>
        </w:rPr>
        <w:t xml:space="preserve">Corte IDH. Caso Blake Vs. Guatemala. Reparaciones y Costas. Sentencia de 22 de enero de 1999. Serie C No. 48. Disponible en: </w:t>
      </w:r>
      <w:hyperlink r:id="rId10" w:history="1">
        <w:r w:rsidRPr="008F1221">
          <w:rPr>
            <w:rStyle w:val="Hipervnculo"/>
            <w:rFonts w:ascii="Times New Roman" w:hAnsi="Times New Roman" w:cs="Times New Roman"/>
            <w:sz w:val="22"/>
            <w:szCs w:val="22"/>
          </w:rPr>
          <w:t>https://corteidh.or.cr/docs/casos/articulos/seriec_282_esp.pdf</w:t>
        </w:r>
      </w:hyperlink>
      <w:r w:rsidRPr="008F1221">
        <w:rPr>
          <w:rFonts w:ascii="Times New Roman" w:hAnsi="Times New Roman" w:cs="Times New Roman"/>
          <w:sz w:val="22"/>
          <w:szCs w:val="22"/>
        </w:rPr>
        <w:t xml:space="preserve"> </w:t>
      </w:r>
    </w:p>
    <w:p w:rsidR="00F31721" w:rsidRPr="008F1221" w:rsidRDefault="00F31721" w:rsidP="008F1221">
      <w:pPr>
        <w:pStyle w:val="Textonotapie"/>
        <w:jc w:val="both"/>
        <w:rPr>
          <w:rFonts w:ascii="Times New Roman" w:hAnsi="Times New Roman" w:cs="Times New Roman"/>
          <w:sz w:val="22"/>
          <w:szCs w:val="22"/>
        </w:rPr>
      </w:pPr>
    </w:p>
    <w:p w:rsidR="00F31721" w:rsidRPr="008F1221" w:rsidRDefault="00F31721" w:rsidP="008F1221">
      <w:pPr>
        <w:pStyle w:val="Textonotapie"/>
        <w:jc w:val="both"/>
        <w:rPr>
          <w:rStyle w:val="Hipervnculo"/>
          <w:rFonts w:ascii="Times New Roman" w:hAnsi="Times New Roman" w:cs="Times New Roman"/>
          <w:color w:val="auto"/>
          <w:sz w:val="22"/>
          <w:szCs w:val="22"/>
        </w:rPr>
      </w:pPr>
      <w:r w:rsidRPr="008F1221">
        <w:rPr>
          <w:rFonts w:ascii="Times New Roman" w:hAnsi="Times New Roman" w:cs="Times New Roman"/>
          <w:color w:val="auto"/>
          <w:sz w:val="22"/>
          <w:szCs w:val="22"/>
          <w:lang w:val="es-ES"/>
        </w:rPr>
        <w:t xml:space="preserve">Corte IDH. Caso González y otras (“Campo Algodonero”) Vs. México. Fondo, Reparaciones y Costas. </w:t>
      </w:r>
      <w:r w:rsidRPr="008F1221">
        <w:rPr>
          <w:rFonts w:ascii="Times New Roman" w:hAnsi="Times New Roman" w:cs="Times New Roman"/>
          <w:color w:val="auto"/>
          <w:sz w:val="22"/>
          <w:szCs w:val="22"/>
        </w:rPr>
        <w:t xml:space="preserve">Sentencia de 16 de noviembre de 2009. Disponible en:  </w:t>
      </w:r>
      <w:hyperlink r:id="rId11" w:history="1">
        <w:r w:rsidRPr="008F1221">
          <w:rPr>
            <w:rStyle w:val="Hipervnculo"/>
            <w:rFonts w:ascii="Times New Roman" w:hAnsi="Times New Roman" w:cs="Times New Roman"/>
            <w:color w:val="auto"/>
            <w:sz w:val="22"/>
            <w:szCs w:val="22"/>
          </w:rPr>
          <w:t>http://www.corteidh.or.cr/docs/casos/articulos/seriec_205_esp.pdf</w:t>
        </w:r>
      </w:hyperlink>
    </w:p>
    <w:p w:rsidR="00F31721" w:rsidRPr="008F1221" w:rsidRDefault="00F31721" w:rsidP="008F1221">
      <w:pPr>
        <w:pStyle w:val="Textonotapie"/>
        <w:jc w:val="both"/>
        <w:rPr>
          <w:rFonts w:ascii="Times New Roman" w:hAnsi="Times New Roman" w:cs="Times New Roman"/>
          <w:sz w:val="22"/>
          <w:szCs w:val="22"/>
        </w:rPr>
      </w:pPr>
    </w:p>
    <w:p w:rsidR="00F31721" w:rsidRPr="008F1221" w:rsidRDefault="00F31721" w:rsidP="008F1221">
      <w:pPr>
        <w:pStyle w:val="Textonotapie"/>
        <w:jc w:val="both"/>
        <w:rPr>
          <w:rStyle w:val="Hipervnculo"/>
          <w:rFonts w:ascii="Times New Roman" w:hAnsi="Times New Roman" w:cs="Times New Roman"/>
          <w:color w:val="auto"/>
          <w:sz w:val="22"/>
          <w:szCs w:val="22"/>
        </w:rPr>
      </w:pPr>
      <w:r w:rsidRPr="008F1221">
        <w:rPr>
          <w:rFonts w:ascii="Times New Roman" w:hAnsi="Times New Roman" w:cs="Times New Roman"/>
          <w:color w:val="auto"/>
          <w:sz w:val="22"/>
          <w:szCs w:val="22"/>
        </w:rPr>
        <w:t xml:space="preserve">Corte IDH. Caso Defensor de Derechos Humanos y otros VS. Guatemala. Sentencia del 28 de agosto de 2014. Disponible en: </w:t>
      </w:r>
      <w:hyperlink r:id="rId12" w:history="1">
        <w:r w:rsidRPr="008F1221">
          <w:rPr>
            <w:rStyle w:val="Hipervnculo"/>
            <w:rFonts w:ascii="Times New Roman" w:hAnsi="Times New Roman" w:cs="Times New Roman"/>
            <w:color w:val="auto"/>
            <w:sz w:val="22"/>
            <w:szCs w:val="22"/>
          </w:rPr>
          <w:t>http://www.corteidh.or.cr/docs/casos/articulos/seriec_283_esp.pdf</w:t>
        </w:r>
      </w:hyperlink>
    </w:p>
    <w:p w:rsidR="00F31721" w:rsidRPr="008F1221" w:rsidRDefault="00F31721" w:rsidP="008F1221">
      <w:pPr>
        <w:pStyle w:val="Textonotapie"/>
        <w:jc w:val="both"/>
        <w:rPr>
          <w:rStyle w:val="Hipervnculo"/>
          <w:rFonts w:ascii="Times New Roman" w:hAnsi="Times New Roman" w:cs="Times New Roman"/>
          <w:color w:val="auto"/>
          <w:sz w:val="22"/>
          <w:szCs w:val="22"/>
        </w:rPr>
      </w:pPr>
    </w:p>
    <w:p w:rsidR="00F31721" w:rsidRPr="008F1221" w:rsidRDefault="00F31721" w:rsidP="008F1221">
      <w:pPr>
        <w:pStyle w:val="Textonotapie"/>
        <w:jc w:val="both"/>
        <w:rPr>
          <w:rFonts w:ascii="Times New Roman" w:hAnsi="Times New Roman" w:cs="Times New Roman"/>
          <w:sz w:val="22"/>
          <w:szCs w:val="22"/>
        </w:rPr>
      </w:pPr>
      <w:r w:rsidRPr="008F1221">
        <w:rPr>
          <w:rFonts w:ascii="Times New Roman" w:hAnsi="Times New Roman" w:cs="Times New Roman"/>
          <w:bCs/>
          <w:sz w:val="22"/>
          <w:szCs w:val="22"/>
          <w:lang w:val="es-ES_tradnl"/>
        </w:rPr>
        <w:t xml:space="preserve">Corte IDH. Caso Espinoza Gonzáles Vs. Perú. Excepciones Preliminares, Fondo, Reparaciones y Costas. Sentencia de 20 de noviembre de 2014. Serie C No. 289. Disponible en: </w:t>
      </w:r>
      <w:hyperlink r:id="rId13" w:history="1">
        <w:r w:rsidRPr="008F1221">
          <w:rPr>
            <w:rStyle w:val="Hipervnculo"/>
            <w:rFonts w:ascii="Times New Roman" w:hAnsi="Times New Roman" w:cs="Times New Roman"/>
            <w:bCs/>
            <w:sz w:val="22"/>
            <w:szCs w:val="22"/>
            <w:lang w:val="es-ES_tradnl"/>
          </w:rPr>
          <w:t>https://www.corteidh.or.cr/docs/casos/articulos/seriec_289_esp.pdf</w:t>
        </w:r>
      </w:hyperlink>
      <w:r w:rsidRPr="008F1221">
        <w:rPr>
          <w:rFonts w:ascii="Times New Roman" w:hAnsi="Times New Roman" w:cs="Times New Roman"/>
          <w:bCs/>
          <w:sz w:val="22"/>
          <w:szCs w:val="22"/>
          <w:lang w:val="es-ES_tradnl"/>
        </w:rPr>
        <w:t xml:space="preserve"> </w:t>
      </w:r>
    </w:p>
    <w:p w:rsidR="00F31721" w:rsidRPr="008F1221" w:rsidRDefault="00F31721" w:rsidP="008F1221">
      <w:pPr>
        <w:pStyle w:val="Textonotapie"/>
        <w:jc w:val="both"/>
        <w:rPr>
          <w:rStyle w:val="Hipervnculo"/>
          <w:rFonts w:ascii="Times New Roman" w:hAnsi="Times New Roman" w:cs="Times New Roman"/>
          <w:color w:val="auto"/>
          <w:sz w:val="22"/>
          <w:szCs w:val="22"/>
        </w:rPr>
      </w:pPr>
    </w:p>
    <w:p w:rsidR="00F31721" w:rsidRPr="008F1221" w:rsidRDefault="00F31721" w:rsidP="008F1221">
      <w:pPr>
        <w:pStyle w:val="Textonotapie"/>
        <w:jc w:val="both"/>
        <w:rPr>
          <w:rStyle w:val="Hipervnculo"/>
          <w:rFonts w:ascii="Times New Roman" w:hAnsi="Times New Roman" w:cs="Times New Roman"/>
          <w:sz w:val="22"/>
          <w:szCs w:val="22"/>
        </w:rPr>
      </w:pPr>
      <w:r w:rsidRPr="008F1221">
        <w:rPr>
          <w:rFonts w:ascii="Times New Roman" w:hAnsi="Times New Roman" w:cs="Times New Roman"/>
          <w:bCs/>
          <w:sz w:val="22"/>
          <w:szCs w:val="22"/>
          <w:lang w:val="es-ES_tradnl"/>
        </w:rPr>
        <w:t xml:space="preserve">Corte IDH. Caso de Personas dominicanas y haitianas expulsadas Vs. República Dominicana. Excepciones Preliminares, Fondo, Reparaciones y Costas. Sentencia de 28 de agosto de 2014. Serie C No. 282. Disponible en: </w:t>
      </w:r>
      <w:hyperlink r:id="rId14" w:history="1">
        <w:r w:rsidRPr="008F1221">
          <w:rPr>
            <w:rStyle w:val="Hipervnculo"/>
            <w:rFonts w:ascii="Times New Roman" w:hAnsi="Times New Roman" w:cs="Times New Roman"/>
            <w:sz w:val="22"/>
            <w:szCs w:val="22"/>
          </w:rPr>
          <w:t>https://corteidh.or.cr/docs/casos/articulos/seriec_282_esp.pdf</w:t>
        </w:r>
      </w:hyperlink>
    </w:p>
    <w:p w:rsidR="00F31721" w:rsidRPr="008F1221" w:rsidRDefault="00F31721" w:rsidP="008F1221">
      <w:pPr>
        <w:pStyle w:val="Textonotapie"/>
        <w:jc w:val="both"/>
        <w:rPr>
          <w:rStyle w:val="Hipervnculo"/>
          <w:rFonts w:ascii="Times New Roman" w:hAnsi="Times New Roman" w:cs="Times New Roman"/>
          <w:sz w:val="22"/>
          <w:szCs w:val="22"/>
        </w:rPr>
      </w:pPr>
    </w:p>
    <w:p w:rsidR="00F31721" w:rsidRPr="008F1221" w:rsidRDefault="00F31721" w:rsidP="008F1221">
      <w:pPr>
        <w:pStyle w:val="Textonotapie"/>
        <w:jc w:val="both"/>
        <w:rPr>
          <w:rFonts w:ascii="Times New Roman" w:hAnsi="Times New Roman" w:cs="Times New Roman"/>
          <w:sz w:val="22"/>
          <w:szCs w:val="22"/>
        </w:rPr>
      </w:pPr>
      <w:r w:rsidRPr="008F1221">
        <w:rPr>
          <w:rFonts w:ascii="Times New Roman" w:hAnsi="Times New Roman" w:cs="Times New Roman"/>
          <w:sz w:val="22"/>
          <w:szCs w:val="22"/>
        </w:rPr>
        <w:t xml:space="preserve">Corte IDH. Caso Genie Lacayo Vs. Nicaragua. Fondo, Reparaciones y Costas. Sentencia de 29 de enero de 1997. Serie C No. 30. Disponible en: </w:t>
      </w:r>
      <w:hyperlink r:id="rId15" w:history="1">
        <w:r w:rsidRPr="008F1221">
          <w:rPr>
            <w:rStyle w:val="Hipervnculo"/>
            <w:rFonts w:ascii="Times New Roman" w:hAnsi="Times New Roman" w:cs="Times New Roman"/>
            <w:sz w:val="22"/>
            <w:szCs w:val="22"/>
          </w:rPr>
          <w:t>https://www.corteidh.or.cr/docs/casos/articulos/seriec_30_esp.pdf</w:t>
        </w:r>
      </w:hyperlink>
      <w:r w:rsidRPr="008F1221">
        <w:rPr>
          <w:rFonts w:ascii="Times New Roman" w:hAnsi="Times New Roman" w:cs="Times New Roman"/>
          <w:sz w:val="22"/>
          <w:szCs w:val="22"/>
        </w:rPr>
        <w:t xml:space="preserve"> </w:t>
      </w:r>
    </w:p>
    <w:p w:rsidR="00F31721" w:rsidRPr="008F1221" w:rsidRDefault="00F31721" w:rsidP="008F1221">
      <w:pPr>
        <w:pStyle w:val="Textonotapie"/>
        <w:jc w:val="both"/>
        <w:rPr>
          <w:rFonts w:ascii="Times New Roman" w:hAnsi="Times New Roman" w:cs="Times New Roman"/>
          <w:sz w:val="22"/>
          <w:szCs w:val="22"/>
        </w:rPr>
      </w:pPr>
    </w:p>
    <w:p w:rsidR="00F31721" w:rsidRPr="008F1221" w:rsidRDefault="00F31721" w:rsidP="008F1221">
      <w:pPr>
        <w:pStyle w:val="Textonotapie"/>
        <w:jc w:val="both"/>
        <w:rPr>
          <w:rStyle w:val="Hipervnculo"/>
          <w:rFonts w:ascii="Times New Roman" w:hAnsi="Times New Roman" w:cs="Times New Roman"/>
          <w:color w:val="auto"/>
          <w:sz w:val="22"/>
          <w:szCs w:val="22"/>
        </w:rPr>
      </w:pPr>
      <w:r w:rsidRPr="008F1221">
        <w:rPr>
          <w:rFonts w:ascii="Times New Roman" w:hAnsi="Times New Roman" w:cs="Times New Roman"/>
          <w:color w:val="auto"/>
          <w:sz w:val="22"/>
          <w:szCs w:val="22"/>
          <w:lang w:val="es-ES"/>
        </w:rPr>
        <w:t xml:space="preserve">Corte IDH. Caso J. Vs. Perú. Fondo, Reparaciones y Costas. </w:t>
      </w:r>
      <w:r w:rsidRPr="008F1221">
        <w:rPr>
          <w:rFonts w:ascii="Times New Roman" w:hAnsi="Times New Roman" w:cs="Times New Roman"/>
          <w:color w:val="auto"/>
          <w:sz w:val="22"/>
          <w:szCs w:val="22"/>
        </w:rPr>
        <w:t xml:space="preserve">Sentencia de 27 de noviembre de 2013. Párr. 53. Disponible en: </w:t>
      </w:r>
      <w:hyperlink r:id="rId16" w:history="1">
        <w:r w:rsidRPr="008F1221">
          <w:rPr>
            <w:rStyle w:val="Hipervnculo"/>
            <w:rFonts w:ascii="Times New Roman" w:hAnsi="Times New Roman" w:cs="Times New Roman"/>
            <w:color w:val="auto"/>
            <w:sz w:val="22"/>
            <w:szCs w:val="22"/>
          </w:rPr>
          <w:t>http://www.corteidh.or.cr/docs/casos/articulos/seriec_275_esp.pdf</w:t>
        </w:r>
      </w:hyperlink>
    </w:p>
    <w:p w:rsidR="00F31721" w:rsidRPr="008F1221" w:rsidRDefault="00F31721" w:rsidP="008F1221">
      <w:pPr>
        <w:pStyle w:val="Textonotapie"/>
        <w:jc w:val="both"/>
        <w:rPr>
          <w:rStyle w:val="Hipervnculo"/>
          <w:rFonts w:ascii="Times New Roman" w:hAnsi="Times New Roman" w:cs="Times New Roman"/>
          <w:color w:val="auto"/>
          <w:sz w:val="22"/>
          <w:szCs w:val="22"/>
        </w:rPr>
      </w:pPr>
    </w:p>
    <w:p w:rsidR="00F31721" w:rsidRPr="008F1221" w:rsidRDefault="00F31721" w:rsidP="008F1221">
      <w:pPr>
        <w:pStyle w:val="Textonotapie"/>
        <w:jc w:val="both"/>
        <w:rPr>
          <w:rStyle w:val="Hipervnculo"/>
          <w:rFonts w:ascii="Times New Roman" w:hAnsi="Times New Roman" w:cs="Times New Roman"/>
          <w:color w:val="auto"/>
          <w:sz w:val="22"/>
          <w:szCs w:val="22"/>
        </w:rPr>
      </w:pPr>
      <w:r w:rsidRPr="008F1221">
        <w:rPr>
          <w:rFonts w:ascii="Times New Roman" w:hAnsi="Times New Roman" w:cs="Times New Roman"/>
          <w:color w:val="auto"/>
          <w:sz w:val="22"/>
          <w:szCs w:val="22"/>
        </w:rPr>
        <w:t xml:space="preserve">Corte IDH. Caso Masacre de Pueblo Bello VS. Colombia. Sentencia del 31 de enero de 2006. Disponible en: </w:t>
      </w:r>
      <w:hyperlink r:id="rId17" w:history="1">
        <w:r w:rsidRPr="008F1221">
          <w:rPr>
            <w:rStyle w:val="Hipervnculo"/>
            <w:rFonts w:ascii="Times New Roman" w:hAnsi="Times New Roman" w:cs="Times New Roman"/>
            <w:color w:val="auto"/>
            <w:sz w:val="22"/>
            <w:szCs w:val="22"/>
          </w:rPr>
          <w:t>http://www.corteidh.or.cr/docs/casos/articulos/seriec_140_esp.pdf</w:t>
        </w:r>
      </w:hyperlink>
    </w:p>
    <w:p w:rsidR="00F31721" w:rsidRPr="008F1221" w:rsidRDefault="00F31721" w:rsidP="008F1221">
      <w:pPr>
        <w:pStyle w:val="Textonotapie"/>
        <w:jc w:val="both"/>
        <w:rPr>
          <w:rStyle w:val="Hipervnculo"/>
          <w:rFonts w:ascii="Times New Roman" w:hAnsi="Times New Roman" w:cs="Times New Roman"/>
          <w:color w:val="auto"/>
          <w:sz w:val="22"/>
          <w:szCs w:val="22"/>
        </w:rPr>
      </w:pPr>
    </w:p>
    <w:p w:rsidR="00F31721" w:rsidRPr="008F1221" w:rsidRDefault="00F31721" w:rsidP="008F1221">
      <w:pPr>
        <w:pStyle w:val="Textonotapie"/>
        <w:jc w:val="both"/>
        <w:rPr>
          <w:rStyle w:val="Hipervnculo"/>
          <w:rFonts w:ascii="Times New Roman" w:hAnsi="Times New Roman" w:cs="Times New Roman"/>
          <w:color w:val="auto"/>
          <w:sz w:val="22"/>
          <w:szCs w:val="22"/>
        </w:rPr>
      </w:pPr>
      <w:r w:rsidRPr="008F1221">
        <w:rPr>
          <w:rFonts w:ascii="Times New Roman" w:hAnsi="Times New Roman" w:cs="Times New Roman"/>
          <w:color w:val="auto"/>
          <w:sz w:val="22"/>
          <w:szCs w:val="22"/>
        </w:rPr>
        <w:t xml:space="preserve">Corte IDH. Caso Nadege Dorzema y otros VS. República Dominicana. Sentencia del 24 de octubre de 2011.Disponible en: </w:t>
      </w:r>
      <w:hyperlink r:id="rId18" w:history="1">
        <w:r w:rsidRPr="008F1221">
          <w:rPr>
            <w:rStyle w:val="Hipervnculo"/>
            <w:rFonts w:ascii="Times New Roman" w:hAnsi="Times New Roman" w:cs="Times New Roman"/>
            <w:color w:val="auto"/>
            <w:sz w:val="22"/>
            <w:szCs w:val="22"/>
          </w:rPr>
          <w:t>http://www.corteidh.or.cr/docs/casos/articulos/seriec_251_esp.pdf</w:t>
        </w:r>
      </w:hyperlink>
      <w:r w:rsidRPr="008F1221">
        <w:rPr>
          <w:rStyle w:val="Hipervnculo"/>
          <w:rFonts w:ascii="Times New Roman" w:hAnsi="Times New Roman" w:cs="Times New Roman"/>
          <w:color w:val="auto"/>
          <w:sz w:val="22"/>
          <w:szCs w:val="22"/>
        </w:rPr>
        <w:t xml:space="preserve"> </w:t>
      </w:r>
    </w:p>
    <w:p w:rsidR="00F31721" w:rsidRPr="008F1221" w:rsidRDefault="00F31721" w:rsidP="008F1221">
      <w:pPr>
        <w:pStyle w:val="Textonotapie"/>
        <w:jc w:val="both"/>
        <w:rPr>
          <w:rFonts w:ascii="Times New Roman" w:hAnsi="Times New Roman" w:cs="Times New Roman"/>
          <w:sz w:val="22"/>
          <w:szCs w:val="22"/>
        </w:rPr>
      </w:pPr>
    </w:p>
    <w:p w:rsidR="00F31721" w:rsidRPr="008F1221" w:rsidRDefault="00F31721" w:rsidP="008F1221">
      <w:pPr>
        <w:pStyle w:val="Textonotapie"/>
        <w:jc w:val="both"/>
        <w:rPr>
          <w:rFonts w:ascii="Times New Roman" w:hAnsi="Times New Roman" w:cs="Times New Roman"/>
          <w:sz w:val="22"/>
          <w:szCs w:val="22"/>
        </w:rPr>
      </w:pPr>
      <w:r w:rsidRPr="008F1221">
        <w:rPr>
          <w:rFonts w:ascii="Times New Roman" w:hAnsi="Times New Roman" w:cs="Times New Roman"/>
          <w:sz w:val="22"/>
          <w:szCs w:val="22"/>
        </w:rPr>
        <w:lastRenderedPageBreak/>
        <w:t xml:space="preserve">Escrito de Argumentos, Solicitudes y Pruebas. Caso Fernández Prieto y otro Vs. Argentina. </w:t>
      </w:r>
    </w:p>
    <w:p w:rsidR="00F31721" w:rsidRPr="008F1221" w:rsidRDefault="00F31721" w:rsidP="008F1221">
      <w:pPr>
        <w:pStyle w:val="Textonotapie"/>
        <w:jc w:val="both"/>
        <w:rPr>
          <w:rFonts w:ascii="Times New Roman" w:hAnsi="Times New Roman" w:cs="Times New Roman"/>
          <w:sz w:val="22"/>
          <w:szCs w:val="22"/>
        </w:rPr>
      </w:pPr>
    </w:p>
    <w:p w:rsidR="00F31721" w:rsidRPr="008F1221" w:rsidRDefault="00F31721" w:rsidP="008F1221">
      <w:pPr>
        <w:pStyle w:val="Textonotapie"/>
        <w:jc w:val="both"/>
        <w:rPr>
          <w:rFonts w:ascii="Times New Roman" w:hAnsi="Times New Roman" w:cs="Times New Roman"/>
          <w:sz w:val="22"/>
          <w:szCs w:val="22"/>
        </w:rPr>
      </w:pPr>
      <w:r w:rsidRPr="008F1221">
        <w:rPr>
          <w:rFonts w:ascii="Times New Roman" w:hAnsi="Times New Roman" w:cs="Times New Roman"/>
          <w:sz w:val="22"/>
          <w:szCs w:val="22"/>
        </w:rPr>
        <w:t>Fernández Prieto, Carlos Alberto y otro s/infracción a la Ley 23.737 (Causa No. 10.099). Sentencia de la Corte Suprema de Justicia de la Nación.</w:t>
      </w:r>
    </w:p>
    <w:p w:rsidR="00F31721" w:rsidRPr="008F1221" w:rsidRDefault="00F31721" w:rsidP="008F1221">
      <w:pPr>
        <w:pStyle w:val="Textonotapie"/>
        <w:jc w:val="both"/>
        <w:rPr>
          <w:rFonts w:ascii="Times New Roman" w:hAnsi="Times New Roman" w:cs="Times New Roman"/>
          <w:sz w:val="22"/>
          <w:szCs w:val="22"/>
        </w:rPr>
      </w:pPr>
    </w:p>
    <w:p w:rsidR="00F31721" w:rsidRPr="008F1221" w:rsidRDefault="00F31721" w:rsidP="008F1221">
      <w:pPr>
        <w:pStyle w:val="Textonotapie"/>
        <w:jc w:val="both"/>
        <w:rPr>
          <w:rFonts w:ascii="Times New Roman" w:hAnsi="Times New Roman" w:cs="Times New Roman"/>
          <w:sz w:val="22"/>
          <w:szCs w:val="22"/>
          <w:lang w:val="es-MX"/>
        </w:rPr>
      </w:pPr>
      <w:r w:rsidRPr="008F1221">
        <w:rPr>
          <w:rFonts w:ascii="Times New Roman" w:hAnsi="Times New Roman" w:cs="Times New Roman"/>
          <w:sz w:val="22"/>
          <w:szCs w:val="22"/>
          <w:lang w:val="es-MX"/>
        </w:rPr>
        <w:t xml:space="preserve">Garzón Juan Carlos y Pol, Luciana. El Elefante en la habitación: drogas y derechos humanos en América Latina. </w:t>
      </w:r>
      <w:r w:rsidRPr="008F1221">
        <w:rPr>
          <w:rFonts w:ascii="Times New Roman" w:hAnsi="Times New Roman" w:cs="Times New Roman"/>
          <w:sz w:val="22"/>
          <w:szCs w:val="22"/>
        </w:rPr>
        <w:t xml:space="preserve">Revista Sur, v.12, N. 21, ago. 2015. Conectas. Disponible en: </w:t>
      </w:r>
      <w:hyperlink r:id="rId19" w:history="1">
        <w:r w:rsidRPr="008F1221">
          <w:rPr>
            <w:rStyle w:val="Hipervnculo"/>
            <w:rFonts w:ascii="Times New Roman" w:hAnsi="Times New Roman" w:cs="Times New Roman"/>
            <w:sz w:val="22"/>
            <w:szCs w:val="22"/>
          </w:rPr>
          <w:t>http://www.pensamientopenal.com.ar/system/files/2018/03/doctrina46347.pdf</w:t>
        </w:r>
      </w:hyperlink>
      <w:r w:rsidRPr="008F1221">
        <w:rPr>
          <w:rFonts w:ascii="Times New Roman" w:hAnsi="Times New Roman" w:cs="Times New Roman"/>
          <w:sz w:val="22"/>
          <w:szCs w:val="22"/>
        </w:rPr>
        <w:t xml:space="preserve"> </w:t>
      </w:r>
    </w:p>
    <w:p w:rsidR="00F31721" w:rsidRPr="008F1221" w:rsidRDefault="00F31721" w:rsidP="008F1221">
      <w:pPr>
        <w:pStyle w:val="Textonotapie"/>
        <w:jc w:val="both"/>
        <w:rPr>
          <w:rFonts w:ascii="Times New Roman" w:hAnsi="Times New Roman" w:cs="Times New Roman"/>
          <w:sz w:val="22"/>
          <w:szCs w:val="22"/>
        </w:rPr>
      </w:pPr>
    </w:p>
    <w:p w:rsidR="00F31721" w:rsidRPr="008F1221" w:rsidRDefault="00F31721" w:rsidP="008F1221">
      <w:pPr>
        <w:pStyle w:val="Textonotapie"/>
        <w:jc w:val="both"/>
        <w:rPr>
          <w:rStyle w:val="Hipervnculo"/>
          <w:rFonts w:ascii="Times New Roman" w:hAnsi="Times New Roman" w:cs="Times New Roman"/>
          <w:color w:val="auto"/>
          <w:sz w:val="22"/>
          <w:szCs w:val="22"/>
        </w:rPr>
      </w:pPr>
      <w:r w:rsidRPr="008F1221">
        <w:rPr>
          <w:rFonts w:ascii="Times New Roman" w:hAnsi="Times New Roman" w:cs="Times New Roman"/>
          <w:color w:val="auto"/>
          <w:sz w:val="22"/>
          <w:szCs w:val="22"/>
        </w:rPr>
        <w:t xml:space="preserve">International Bar Associaton’s Human Rights Institute (IBAHRI) &amp; Facultad Latinoamericana de Ciencias Sociales (FLACSO México). Violaciones, derechos humanos y contexto: herramientas propuestas para documentar e investigar. Manual de Análisis de Contexto para Casos de Violaciones a los Derechos Humanos. Pág. 12. Ed., IBAHRI &amp; FLACSO México. (marzo 2017). Disponible en: </w:t>
      </w:r>
      <w:hyperlink r:id="rId20" w:history="1">
        <w:r w:rsidRPr="008F1221">
          <w:rPr>
            <w:rStyle w:val="Hipervnculo"/>
            <w:rFonts w:ascii="Times New Roman" w:hAnsi="Times New Roman" w:cs="Times New Roman"/>
            <w:color w:val="auto"/>
            <w:sz w:val="22"/>
            <w:szCs w:val="22"/>
          </w:rPr>
          <w:t>http://www.flacso.edu.mx/sites/default/files/violaciones-ddhh-y-contexto-herramientas-propuestas-para-documentar-investigar.pdf</w:t>
        </w:r>
      </w:hyperlink>
    </w:p>
    <w:p w:rsidR="00F31721" w:rsidRPr="008F1221" w:rsidRDefault="00F31721" w:rsidP="008F1221">
      <w:pPr>
        <w:pStyle w:val="Textonotapie"/>
        <w:jc w:val="both"/>
        <w:rPr>
          <w:rStyle w:val="Hipervnculo"/>
          <w:rFonts w:ascii="Times New Roman" w:hAnsi="Times New Roman" w:cs="Times New Roman"/>
          <w:color w:val="auto"/>
          <w:sz w:val="22"/>
          <w:szCs w:val="22"/>
        </w:rPr>
      </w:pPr>
    </w:p>
    <w:p w:rsidR="00F31721" w:rsidRPr="008F1221" w:rsidRDefault="00F31721" w:rsidP="008F1221">
      <w:pPr>
        <w:pStyle w:val="Textonotapie"/>
        <w:jc w:val="both"/>
        <w:rPr>
          <w:rStyle w:val="Hipervnculo"/>
          <w:rFonts w:ascii="Times New Roman" w:hAnsi="Times New Roman" w:cs="Times New Roman"/>
          <w:color w:val="auto"/>
          <w:sz w:val="22"/>
          <w:szCs w:val="22"/>
        </w:rPr>
      </w:pPr>
      <w:r w:rsidRPr="008F1221">
        <w:rPr>
          <w:rFonts w:ascii="Times New Roman" w:hAnsi="Times New Roman" w:cs="Times New Roman"/>
          <w:color w:val="auto"/>
          <w:sz w:val="22"/>
          <w:szCs w:val="22"/>
        </w:rPr>
        <w:t xml:space="preserve">Programa de Naciones Unidas para el Desarrollo (PNUD), Centro Internacional de Derechos Humanos y Política de Drogas de la Universidad de Essex: “Directrices internacionales sobre derechos humanos y política de drogas”. Marzo 2019. Disponible en: </w:t>
      </w:r>
      <w:hyperlink r:id="rId21" w:history="1">
        <w:r w:rsidRPr="008F1221">
          <w:rPr>
            <w:rStyle w:val="Hipervnculo"/>
            <w:rFonts w:ascii="Times New Roman" w:hAnsi="Times New Roman" w:cs="Times New Roman"/>
            <w:sz w:val="22"/>
            <w:szCs w:val="22"/>
          </w:rPr>
          <w:t>https://www.undp.org/content/undp/es/home/librarypage/hiv-aids/international-guidelines-on-human-rights-and-drug-policy.html</w:t>
        </w:r>
      </w:hyperlink>
    </w:p>
    <w:p w:rsidR="00F31721" w:rsidRPr="008F1221" w:rsidRDefault="00F31721" w:rsidP="008F1221">
      <w:pPr>
        <w:pStyle w:val="Textonotapie"/>
        <w:jc w:val="both"/>
        <w:rPr>
          <w:rStyle w:val="Hipervnculo"/>
          <w:rFonts w:ascii="Times New Roman" w:hAnsi="Times New Roman" w:cs="Times New Roman"/>
          <w:color w:val="auto"/>
          <w:sz w:val="22"/>
          <w:szCs w:val="22"/>
        </w:rPr>
      </w:pPr>
    </w:p>
    <w:p w:rsidR="00F31721" w:rsidRPr="008F1221" w:rsidRDefault="00F31721" w:rsidP="008F1221">
      <w:pPr>
        <w:pStyle w:val="Textonotapie"/>
        <w:jc w:val="both"/>
        <w:rPr>
          <w:rFonts w:ascii="Times New Roman" w:hAnsi="Times New Roman" w:cs="Times New Roman"/>
          <w:sz w:val="22"/>
          <w:szCs w:val="22"/>
        </w:rPr>
      </w:pPr>
      <w:r w:rsidRPr="008F1221">
        <w:rPr>
          <w:rFonts w:ascii="Times New Roman" w:hAnsi="Times New Roman" w:cs="Times New Roman"/>
          <w:sz w:val="22"/>
          <w:szCs w:val="22"/>
        </w:rPr>
        <w:t xml:space="preserve">OEA. Declaración de Antigua Guatemala, “Por una política integral frente al problema mundial de las drogas en las Américas” 7 de junio de 2013 (Aprobada en la cuarta sesión plenaria, celebrada el 6 de junio de 2013). Disponible en: </w:t>
      </w:r>
      <w:hyperlink r:id="rId22" w:history="1">
        <w:r w:rsidRPr="008F1221">
          <w:rPr>
            <w:rStyle w:val="Hipervnculo"/>
            <w:rFonts w:ascii="Times New Roman" w:hAnsi="Times New Roman" w:cs="Times New Roman"/>
            <w:sz w:val="22"/>
            <w:szCs w:val="22"/>
          </w:rPr>
          <w:t>https://www.oas.org/es/centro_noticias/comunicado_prensa.asp?sCodigo=D-010</w:t>
        </w:r>
      </w:hyperlink>
      <w:r w:rsidRPr="008F1221">
        <w:rPr>
          <w:rFonts w:ascii="Times New Roman" w:hAnsi="Times New Roman" w:cs="Times New Roman"/>
          <w:sz w:val="22"/>
          <w:szCs w:val="22"/>
        </w:rPr>
        <w:t xml:space="preserve"> </w:t>
      </w:r>
    </w:p>
    <w:p w:rsidR="00F31721" w:rsidRPr="008F1221" w:rsidRDefault="00F31721" w:rsidP="008F1221">
      <w:pPr>
        <w:pStyle w:val="Textonotapie"/>
        <w:jc w:val="both"/>
        <w:rPr>
          <w:rFonts w:ascii="Times New Roman" w:hAnsi="Times New Roman" w:cs="Times New Roman"/>
          <w:sz w:val="22"/>
          <w:szCs w:val="22"/>
        </w:rPr>
      </w:pPr>
    </w:p>
    <w:p w:rsidR="00F31721" w:rsidRPr="008F1221" w:rsidRDefault="00F31721" w:rsidP="008F1221">
      <w:pPr>
        <w:pStyle w:val="Textonotapie"/>
        <w:jc w:val="both"/>
        <w:rPr>
          <w:rFonts w:ascii="Times New Roman" w:hAnsi="Times New Roman" w:cs="Times New Roman"/>
          <w:sz w:val="22"/>
          <w:szCs w:val="22"/>
          <w:lang w:val="en-US"/>
        </w:rPr>
      </w:pPr>
      <w:r w:rsidRPr="008F1221">
        <w:rPr>
          <w:rFonts w:ascii="Times New Roman" w:hAnsi="Times New Roman" w:cs="Times New Roman"/>
          <w:sz w:val="22"/>
          <w:szCs w:val="22"/>
        </w:rPr>
        <w:t xml:space="preserve">Oficina del Alto Comisionado para los Derechos Humanos (2015). Estudio sobre las repercusiones del problema mundial de las drogas en el ejercicio de los derechos humanos, Informe del Alto Comisionado de las Naciones Unidas para los Derechos Humanos, A/HRC/30/65. </w:t>
      </w:r>
      <w:r w:rsidRPr="008F1221">
        <w:rPr>
          <w:rFonts w:ascii="Times New Roman" w:hAnsi="Times New Roman" w:cs="Times New Roman"/>
          <w:sz w:val="22"/>
          <w:szCs w:val="22"/>
          <w:lang w:val="en-US"/>
        </w:rPr>
        <w:t xml:space="preserve">Disponible en: http://www.ohchr.org/EN/HRBodies/ HRC/RegularSessions/Session30/Pages/ListReports.aspx </w:t>
      </w:r>
    </w:p>
    <w:p w:rsidR="00F31721" w:rsidRPr="008F1221" w:rsidRDefault="00F31721" w:rsidP="008F1221">
      <w:pPr>
        <w:pStyle w:val="Textonotapie"/>
        <w:jc w:val="both"/>
        <w:rPr>
          <w:rFonts w:ascii="Times New Roman" w:hAnsi="Times New Roman" w:cs="Times New Roman"/>
          <w:sz w:val="22"/>
          <w:szCs w:val="22"/>
          <w:lang w:val="en-US"/>
        </w:rPr>
      </w:pPr>
    </w:p>
    <w:p w:rsidR="00F31721" w:rsidRPr="008F1221" w:rsidRDefault="00F31721" w:rsidP="008F1221">
      <w:pPr>
        <w:pStyle w:val="Textonotapie"/>
        <w:jc w:val="both"/>
        <w:rPr>
          <w:rFonts w:ascii="Times New Roman" w:hAnsi="Times New Roman" w:cs="Times New Roman"/>
          <w:sz w:val="22"/>
          <w:szCs w:val="22"/>
        </w:rPr>
      </w:pPr>
      <w:r w:rsidRPr="008F1221">
        <w:rPr>
          <w:rFonts w:ascii="Times New Roman" w:hAnsi="Times New Roman" w:cs="Times New Roman"/>
          <w:sz w:val="22"/>
          <w:szCs w:val="22"/>
        </w:rPr>
        <w:t xml:space="preserve">ONU. Informe del Grupo de Trabajo sobre la Detención Arbitraria de Naciones Unidas acerca de su misión a la Argentina, A/HRC/39/45/Add. Disponible en: </w:t>
      </w:r>
      <w:hyperlink r:id="rId23" w:history="1">
        <w:r w:rsidRPr="008F1221">
          <w:rPr>
            <w:rStyle w:val="Hipervnculo"/>
            <w:rFonts w:ascii="Times New Roman" w:hAnsi="Times New Roman" w:cs="Times New Roman"/>
            <w:sz w:val="22"/>
            <w:szCs w:val="22"/>
          </w:rPr>
          <w:t>https://documents-dds-ny.un.org/doc/UNDOC/GEN/G16/176/94/PDF/G1617694.pdf?OpenElement</w:t>
        </w:r>
      </w:hyperlink>
    </w:p>
    <w:p w:rsidR="00F31721" w:rsidRPr="008F1221" w:rsidRDefault="00F31721" w:rsidP="008F1221">
      <w:pPr>
        <w:pStyle w:val="Textonotapie"/>
        <w:jc w:val="both"/>
        <w:rPr>
          <w:rFonts w:ascii="Times New Roman" w:hAnsi="Times New Roman" w:cs="Times New Roman"/>
          <w:sz w:val="22"/>
          <w:szCs w:val="22"/>
        </w:rPr>
      </w:pPr>
    </w:p>
    <w:p w:rsidR="00F31721" w:rsidRPr="008F1221" w:rsidRDefault="00F31721" w:rsidP="008F1221">
      <w:pPr>
        <w:pStyle w:val="Textonotapie"/>
        <w:jc w:val="both"/>
        <w:rPr>
          <w:rFonts w:ascii="Times New Roman" w:hAnsi="Times New Roman" w:cs="Times New Roman"/>
          <w:sz w:val="22"/>
          <w:szCs w:val="22"/>
        </w:rPr>
      </w:pPr>
      <w:r w:rsidRPr="008F1221">
        <w:rPr>
          <w:rFonts w:ascii="Times New Roman" w:hAnsi="Times New Roman" w:cs="Times New Roman"/>
          <w:sz w:val="22"/>
          <w:szCs w:val="22"/>
        </w:rPr>
        <w:t xml:space="preserve">ONU. Comité de Derechos Humanos, Examen de los informes presentados por los estados partes con arreglo al artículo 40 del Pacto, Observaciones finales, Argentina, CCPR/C/ARG/CO/4, 31 de marzo de 2010, párr. 15. Disponible en: </w:t>
      </w:r>
    </w:p>
    <w:p w:rsidR="00F31721" w:rsidRPr="008F1221" w:rsidRDefault="00F31721" w:rsidP="008F1221">
      <w:pPr>
        <w:pStyle w:val="Textonotapie"/>
        <w:jc w:val="both"/>
        <w:rPr>
          <w:rFonts w:ascii="Times New Roman" w:hAnsi="Times New Roman" w:cs="Times New Roman"/>
          <w:sz w:val="22"/>
          <w:szCs w:val="22"/>
        </w:rPr>
      </w:pPr>
      <w:r w:rsidRPr="008F1221">
        <w:rPr>
          <w:rFonts w:ascii="Times New Roman" w:hAnsi="Times New Roman" w:cs="Times New Roman"/>
          <w:sz w:val="22"/>
          <w:szCs w:val="22"/>
        </w:rPr>
        <w:t>https://tbinternet.ohchr.org/_layouts/treatybodyexternal/Download.aspx?symbolno=CCPR%2FC%2F A RG%2FCO%2F4&amp;Lang=es</w:t>
      </w:r>
    </w:p>
    <w:p w:rsidR="00F31721" w:rsidRPr="008F1221" w:rsidRDefault="00F31721" w:rsidP="008F1221">
      <w:pPr>
        <w:pStyle w:val="Textonotapie"/>
        <w:jc w:val="both"/>
        <w:rPr>
          <w:rFonts w:ascii="Times New Roman" w:hAnsi="Times New Roman" w:cs="Times New Roman"/>
          <w:sz w:val="22"/>
          <w:szCs w:val="22"/>
        </w:rPr>
      </w:pPr>
    </w:p>
    <w:p w:rsidR="00F31721" w:rsidRPr="008F1221" w:rsidRDefault="00F31721" w:rsidP="008F1221">
      <w:pPr>
        <w:pStyle w:val="Textonotapie"/>
        <w:jc w:val="both"/>
        <w:rPr>
          <w:rFonts w:ascii="Times New Roman" w:hAnsi="Times New Roman" w:cs="Times New Roman"/>
          <w:sz w:val="22"/>
          <w:szCs w:val="22"/>
          <w:lang w:val="es-MX"/>
        </w:rPr>
      </w:pPr>
      <w:r w:rsidRPr="008F1221">
        <w:rPr>
          <w:rFonts w:ascii="Times New Roman" w:hAnsi="Times New Roman" w:cs="Times New Roman"/>
          <w:sz w:val="22"/>
          <w:szCs w:val="22"/>
        </w:rPr>
        <w:t xml:space="preserve">TNI. </w:t>
      </w:r>
      <w:r w:rsidRPr="008F1221">
        <w:rPr>
          <w:rFonts w:ascii="Times New Roman" w:hAnsi="Times New Roman" w:cs="Times New Roman"/>
          <w:sz w:val="22"/>
          <w:szCs w:val="22"/>
          <w:lang w:val="es-MX"/>
        </w:rPr>
        <w:t xml:space="preserve">Derechos humanos y políticas de drogas, 18 de junio de 2018. Disponible en: </w:t>
      </w:r>
      <w:hyperlink r:id="rId24" w:history="1">
        <w:r w:rsidRPr="008F1221">
          <w:rPr>
            <w:rStyle w:val="Hipervnculo"/>
            <w:rFonts w:ascii="Times New Roman" w:hAnsi="Times New Roman" w:cs="Times New Roman"/>
            <w:sz w:val="22"/>
            <w:szCs w:val="22"/>
          </w:rPr>
          <w:t>https://www.tni.org/es/publicacion/derechos-humanos-y-politicas-de-drogas</w:t>
        </w:r>
      </w:hyperlink>
      <w:r w:rsidRPr="008F1221">
        <w:rPr>
          <w:rFonts w:ascii="Times New Roman" w:hAnsi="Times New Roman" w:cs="Times New Roman"/>
          <w:sz w:val="22"/>
          <w:szCs w:val="22"/>
        </w:rPr>
        <w:t xml:space="preserve"> </w:t>
      </w:r>
    </w:p>
    <w:p w:rsidR="00F31721" w:rsidRPr="008F1221" w:rsidRDefault="00F31721" w:rsidP="008F1221">
      <w:pPr>
        <w:pStyle w:val="Textonotapie"/>
        <w:jc w:val="both"/>
        <w:rPr>
          <w:rFonts w:ascii="Times New Roman" w:hAnsi="Times New Roman" w:cs="Times New Roman"/>
          <w:sz w:val="22"/>
          <w:szCs w:val="22"/>
          <w:lang w:val="es-MX"/>
        </w:rPr>
      </w:pPr>
    </w:p>
    <w:p w:rsidR="00F31721" w:rsidRPr="008F1221" w:rsidRDefault="00F31721" w:rsidP="008F1221">
      <w:pPr>
        <w:pStyle w:val="Textonotapie"/>
        <w:jc w:val="both"/>
        <w:rPr>
          <w:rFonts w:ascii="Times New Roman" w:hAnsi="Times New Roman" w:cs="Times New Roman"/>
          <w:sz w:val="22"/>
          <w:szCs w:val="22"/>
        </w:rPr>
      </w:pPr>
    </w:p>
    <w:p w:rsidR="00F31721" w:rsidRPr="00611C01" w:rsidRDefault="00F31721" w:rsidP="008F1221">
      <w:pPr>
        <w:pStyle w:val="Textonotapie"/>
        <w:jc w:val="both"/>
        <w:rPr>
          <w:rFonts w:ascii="Times New Roman" w:hAnsi="Times New Roman" w:cs="Times New Roman"/>
          <w:sz w:val="22"/>
          <w:szCs w:val="22"/>
        </w:rPr>
      </w:pPr>
      <w:r w:rsidRPr="008F1221">
        <w:rPr>
          <w:rFonts w:ascii="Times New Roman" w:hAnsi="Times New Roman" w:cs="Times New Roman"/>
          <w:sz w:val="22"/>
          <w:szCs w:val="22"/>
          <w:lang w:val="en-US"/>
        </w:rPr>
        <w:t xml:space="preserve">United Nations, Commission on Narcotic Drugs (CND), Special session of the General Assembly on the world drug problem to be held in 2016, E/CN.7/2015/L.11, Mar. 17, 2015. </w:t>
      </w:r>
      <w:hyperlink r:id="rId25" w:history="1">
        <w:r w:rsidRPr="00611C01">
          <w:rPr>
            <w:rStyle w:val="Hipervnculo"/>
            <w:rFonts w:ascii="Times New Roman" w:hAnsi="Times New Roman" w:cs="Times New Roman"/>
            <w:sz w:val="22"/>
            <w:szCs w:val="22"/>
          </w:rPr>
          <w:t>http://www.unodc.org/documents/commissions/CND/CND_Sessions/CND_58/draft_resolutions/ECN72015_L11_17_March_420pm_clean.pdf</w:t>
        </w:r>
      </w:hyperlink>
    </w:p>
    <w:p w:rsidR="00F31721" w:rsidRPr="00611C01" w:rsidRDefault="00F31721" w:rsidP="008F1221">
      <w:pPr>
        <w:pStyle w:val="Textonotapie"/>
        <w:jc w:val="both"/>
        <w:rPr>
          <w:rFonts w:ascii="Times New Roman" w:hAnsi="Times New Roman" w:cs="Times New Roman"/>
          <w:sz w:val="22"/>
          <w:szCs w:val="22"/>
        </w:rPr>
      </w:pPr>
    </w:p>
    <w:p w:rsidR="00F31721" w:rsidRPr="008F1221" w:rsidRDefault="00F31721" w:rsidP="008F1221">
      <w:pPr>
        <w:pStyle w:val="Textonotapie"/>
        <w:jc w:val="both"/>
        <w:rPr>
          <w:rFonts w:ascii="Times New Roman" w:hAnsi="Times New Roman" w:cs="Times New Roman"/>
          <w:sz w:val="22"/>
          <w:szCs w:val="22"/>
          <w:lang w:val="es-MX"/>
        </w:rPr>
      </w:pPr>
      <w:r w:rsidRPr="008F1221">
        <w:rPr>
          <w:rFonts w:ascii="Times New Roman" w:hAnsi="Times New Roman" w:cs="Times New Roman"/>
          <w:sz w:val="22"/>
          <w:szCs w:val="22"/>
          <w:lang w:val="es-MX"/>
        </w:rPr>
        <w:t xml:space="preserve">Uprimny Rodrigo. Derechos humanos y derecho de las drogas. El Espectador, 14 de septiembre de 2013. Disponible en: </w:t>
      </w:r>
      <w:hyperlink r:id="rId26" w:history="1">
        <w:r w:rsidRPr="008F1221">
          <w:rPr>
            <w:rStyle w:val="Hipervnculo"/>
            <w:rFonts w:ascii="Times New Roman" w:hAnsi="Times New Roman" w:cs="Times New Roman"/>
            <w:sz w:val="22"/>
            <w:szCs w:val="22"/>
            <w:lang w:val="es-MX"/>
          </w:rPr>
          <w:t>https://www.elespectador.com/opinion/derechos-humanos-y-derecho-de-las-drogas-columna-446339</w:t>
        </w:r>
      </w:hyperlink>
      <w:r w:rsidRPr="008F1221">
        <w:rPr>
          <w:rFonts w:ascii="Times New Roman" w:hAnsi="Times New Roman" w:cs="Times New Roman"/>
          <w:sz w:val="22"/>
          <w:szCs w:val="22"/>
          <w:lang w:val="es-MX"/>
        </w:rPr>
        <w:t xml:space="preserve"> </w:t>
      </w:r>
    </w:p>
    <w:p w:rsidR="00F31721" w:rsidRPr="008F1221" w:rsidRDefault="00F31721" w:rsidP="008F1221">
      <w:pPr>
        <w:pStyle w:val="Textonotapie"/>
        <w:jc w:val="both"/>
        <w:rPr>
          <w:rFonts w:ascii="Times New Roman" w:hAnsi="Times New Roman" w:cs="Times New Roman"/>
          <w:sz w:val="22"/>
          <w:szCs w:val="22"/>
          <w:lang w:val="es-MX"/>
        </w:rPr>
      </w:pPr>
    </w:p>
    <w:p w:rsidR="00F31721" w:rsidRPr="005C06A8" w:rsidRDefault="00F31721" w:rsidP="008F1221">
      <w:pPr>
        <w:pStyle w:val="Textonotapie"/>
        <w:jc w:val="both"/>
        <w:rPr>
          <w:rStyle w:val="Hipervnculo"/>
          <w:rFonts w:ascii="Times New Roman" w:hAnsi="Times New Roman" w:cs="Times New Roman"/>
          <w:color w:val="auto"/>
          <w:sz w:val="22"/>
          <w:szCs w:val="22"/>
        </w:rPr>
      </w:pPr>
      <w:r w:rsidRPr="008F1221">
        <w:rPr>
          <w:rFonts w:ascii="Times New Roman" w:hAnsi="Times New Roman" w:cs="Times New Roman"/>
          <w:sz w:val="22"/>
          <w:szCs w:val="22"/>
        </w:rPr>
        <w:t>Zaffaroni, Eugenio Raúl, Alejandro Slokar y Alejandro Alagia (2011). Manual de Derecho Penal: Parte General. 2° edición. Buenos Aires: Ediar.</w:t>
      </w:r>
    </w:p>
    <w:p w:rsidR="00F31721" w:rsidRPr="00E21D2B" w:rsidRDefault="00F31721" w:rsidP="00F31721">
      <w:pPr>
        <w:pStyle w:val="Textonotapie"/>
        <w:jc w:val="both"/>
        <w:rPr>
          <w:rFonts w:ascii="Times New Roman" w:hAnsi="Times New Roman" w:cs="Times New Roman"/>
          <w:sz w:val="22"/>
          <w:szCs w:val="22"/>
        </w:rPr>
      </w:pPr>
    </w:p>
    <w:p w:rsidR="00F31721" w:rsidRDefault="00F31721" w:rsidP="00F31721"/>
    <w:p w:rsidR="00F31721" w:rsidRPr="00F31721" w:rsidRDefault="00F31721" w:rsidP="00F31721">
      <w:pPr>
        <w:pStyle w:val="Elementa2"/>
        <w:rPr>
          <w:lang w:val="es-ES_tradnl"/>
        </w:rPr>
      </w:pPr>
    </w:p>
    <w:p w:rsidR="00F31721" w:rsidRPr="00447A21" w:rsidRDefault="00F31721" w:rsidP="00F31721">
      <w:pPr>
        <w:pStyle w:val="Elementa2"/>
      </w:pPr>
    </w:p>
    <w:p w:rsidR="00F36620" w:rsidRPr="00F31721" w:rsidRDefault="00F36620" w:rsidP="00447A21">
      <w:pPr>
        <w:pStyle w:val="Elementa2"/>
        <w:spacing w:line="276" w:lineRule="auto"/>
        <w:rPr>
          <w:rFonts w:ascii="Times New Roman" w:hAnsi="Times New Roman"/>
          <w:sz w:val="20"/>
          <w:lang w:val="es-ES_tradnl"/>
        </w:rPr>
      </w:pPr>
    </w:p>
    <w:sectPr w:rsidR="00F36620" w:rsidRPr="00F31721" w:rsidSect="001B58FD">
      <w:headerReference w:type="default" r:id="rId27"/>
      <w:footerReference w:type="even" r:id="rId28"/>
      <w:footerReference w:type="default" r:id="rId29"/>
      <w:pgSz w:w="11900" w:h="16840"/>
      <w:pgMar w:top="1417" w:right="1701" w:bottom="1417" w:left="1701" w:header="284" w:footer="708"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E74" w:rsidRDefault="00681E74" w:rsidP="00676961">
      <w:pPr>
        <w:spacing w:after="0" w:line="240" w:lineRule="auto"/>
      </w:pPr>
      <w:r>
        <w:separator/>
      </w:r>
    </w:p>
  </w:endnote>
  <w:endnote w:type="continuationSeparator" w:id="0">
    <w:p w:rsidR="00681E74" w:rsidRDefault="00681E74" w:rsidP="00676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FC7" w:rsidRDefault="006C1FC7" w:rsidP="00B5033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1FC7" w:rsidRDefault="006C1FC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FC7" w:rsidRDefault="006C1FC7" w:rsidP="00B5033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C3106">
      <w:rPr>
        <w:rStyle w:val="Nmerodepgina"/>
        <w:noProof/>
      </w:rPr>
      <w:t>22</w:t>
    </w:r>
    <w:r>
      <w:rPr>
        <w:rStyle w:val="Nmerodepgina"/>
      </w:rPr>
      <w:fldChar w:fldCharType="end"/>
    </w:r>
  </w:p>
  <w:p w:rsidR="006C1FC7" w:rsidRDefault="006C1FC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E74" w:rsidRDefault="00681E74" w:rsidP="00676961">
      <w:pPr>
        <w:spacing w:after="0" w:line="240" w:lineRule="auto"/>
      </w:pPr>
      <w:r>
        <w:separator/>
      </w:r>
    </w:p>
  </w:footnote>
  <w:footnote w:type="continuationSeparator" w:id="0">
    <w:p w:rsidR="00681E74" w:rsidRDefault="00681E74" w:rsidP="00676961">
      <w:pPr>
        <w:spacing w:after="0" w:line="240" w:lineRule="auto"/>
      </w:pPr>
      <w:r>
        <w:continuationSeparator/>
      </w:r>
    </w:p>
  </w:footnote>
  <w:footnote w:id="1">
    <w:p w:rsidR="006C1FC7" w:rsidRPr="00447A21" w:rsidRDefault="006C1FC7" w:rsidP="002A36AB">
      <w:pPr>
        <w:pStyle w:val="Textonotapie"/>
        <w:jc w:val="both"/>
        <w:rPr>
          <w:rFonts w:ascii="Times New Roman" w:hAnsi="Times New Roman" w:cs="Times New Roman"/>
          <w:sz w:val="18"/>
          <w:szCs w:val="18"/>
        </w:rPr>
      </w:pPr>
      <w:r w:rsidRPr="00447A21">
        <w:rPr>
          <w:rStyle w:val="Refdenotaalpie"/>
          <w:rFonts w:ascii="Times New Roman" w:hAnsi="Times New Roman" w:cs="Times New Roman"/>
          <w:sz w:val="18"/>
          <w:szCs w:val="18"/>
        </w:rPr>
        <w:footnoteRef/>
      </w:r>
      <w:r w:rsidRPr="00447A21">
        <w:rPr>
          <w:rFonts w:ascii="Times New Roman" w:hAnsi="Times New Roman" w:cs="Times New Roman"/>
          <w:sz w:val="18"/>
          <w:szCs w:val="18"/>
        </w:rPr>
        <w:t xml:space="preserve"> Los hechos detallados en el presente apartado fueron tomados de: CIDH. Informe No. 129/17. Caso 12.315. Informe de Fondo. Carlos Alberto Fernández Prieto y Carlos Alejandro Tumbeiro. Argentina. OEA/Ser.L/V/II.165 Doc. 155 25 octubre 2017 y, Escrito de Argumentos, Solicitudes y Pruebas. Caso Fernández Prieto y otro Vs. Argentina. Págs. 27 a 45.</w:t>
      </w:r>
    </w:p>
  </w:footnote>
  <w:footnote w:id="2">
    <w:p w:rsidR="006C1FC7" w:rsidRPr="00447A21" w:rsidRDefault="006C1FC7">
      <w:pPr>
        <w:pStyle w:val="Textonotapie"/>
        <w:rPr>
          <w:rFonts w:ascii="Times New Roman" w:hAnsi="Times New Roman" w:cs="Times New Roman"/>
          <w:sz w:val="18"/>
          <w:szCs w:val="18"/>
        </w:rPr>
      </w:pPr>
      <w:r w:rsidRPr="00447A21">
        <w:rPr>
          <w:rStyle w:val="Refdenotaalpie"/>
          <w:rFonts w:ascii="Times New Roman" w:hAnsi="Times New Roman" w:cs="Times New Roman"/>
          <w:sz w:val="18"/>
          <w:szCs w:val="18"/>
        </w:rPr>
        <w:footnoteRef/>
      </w:r>
      <w:r w:rsidRPr="00447A21">
        <w:rPr>
          <w:rFonts w:ascii="Times New Roman" w:hAnsi="Times New Roman" w:cs="Times New Roman"/>
          <w:sz w:val="18"/>
          <w:szCs w:val="18"/>
        </w:rPr>
        <w:t xml:space="preserve"> </w:t>
      </w:r>
      <w:r w:rsidRPr="00447A21">
        <w:rPr>
          <w:rFonts w:ascii="Times New Roman" w:hAnsi="Times New Roman" w:cs="Times New Roman"/>
          <w:i/>
          <w:sz w:val="18"/>
          <w:szCs w:val="18"/>
        </w:rPr>
        <w:t>Véase:</w:t>
      </w:r>
      <w:r w:rsidRPr="00447A21">
        <w:rPr>
          <w:rFonts w:ascii="Times New Roman" w:hAnsi="Times New Roman" w:cs="Times New Roman"/>
          <w:sz w:val="18"/>
          <w:szCs w:val="18"/>
        </w:rPr>
        <w:t xml:space="preserve"> Escrito de Argumentos, Solicitudes y Pruebas. Caso Fernández Prieto y otro Vs. Argentina.</w:t>
      </w:r>
    </w:p>
  </w:footnote>
  <w:footnote w:id="3">
    <w:p w:rsidR="006C1FC7" w:rsidRPr="00447A21" w:rsidRDefault="006C1FC7">
      <w:pPr>
        <w:pStyle w:val="Textonotapie"/>
        <w:rPr>
          <w:rFonts w:ascii="Times New Roman" w:hAnsi="Times New Roman" w:cs="Times New Roman"/>
          <w:sz w:val="18"/>
          <w:szCs w:val="18"/>
        </w:rPr>
      </w:pPr>
      <w:r w:rsidRPr="00447A21">
        <w:rPr>
          <w:rStyle w:val="Refdenotaalpie"/>
          <w:rFonts w:ascii="Times New Roman" w:hAnsi="Times New Roman" w:cs="Times New Roman"/>
          <w:sz w:val="18"/>
          <w:szCs w:val="18"/>
        </w:rPr>
        <w:footnoteRef/>
      </w:r>
      <w:r w:rsidRPr="00447A21">
        <w:rPr>
          <w:rFonts w:ascii="Times New Roman" w:hAnsi="Times New Roman" w:cs="Times New Roman"/>
          <w:sz w:val="18"/>
          <w:szCs w:val="18"/>
        </w:rPr>
        <w:t xml:space="preserve"> </w:t>
      </w:r>
      <w:r w:rsidRPr="00447A21">
        <w:rPr>
          <w:rFonts w:ascii="Times New Roman" w:hAnsi="Times New Roman" w:cs="Times New Roman"/>
          <w:i/>
          <w:sz w:val="18"/>
          <w:szCs w:val="18"/>
        </w:rPr>
        <w:t>Ibídem.</w:t>
      </w:r>
      <w:r w:rsidRPr="00447A21">
        <w:rPr>
          <w:rFonts w:ascii="Times New Roman" w:hAnsi="Times New Roman" w:cs="Times New Roman"/>
          <w:sz w:val="18"/>
          <w:szCs w:val="18"/>
        </w:rPr>
        <w:t xml:space="preserve"> </w:t>
      </w:r>
    </w:p>
  </w:footnote>
  <w:footnote w:id="4">
    <w:p w:rsidR="006C1FC7" w:rsidRPr="00447A21" w:rsidRDefault="006C1FC7" w:rsidP="005F12D5">
      <w:pPr>
        <w:pStyle w:val="Textonotapie"/>
        <w:jc w:val="both"/>
        <w:rPr>
          <w:rFonts w:ascii="Times New Roman" w:hAnsi="Times New Roman" w:cs="Times New Roman"/>
          <w:sz w:val="18"/>
          <w:szCs w:val="18"/>
        </w:rPr>
      </w:pPr>
      <w:r w:rsidRPr="00447A21">
        <w:rPr>
          <w:rStyle w:val="Refdenotaalpie"/>
          <w:rFonts w:ascii="Times New Roman" w:hAnsi="Times New Roman" w:cs="Times New Roman"/>
          <w:sz w:val="18"/>
          <w:szCs w:val="18"/>
        </w:rPr>
        <w:footnoteRef/>
      </w:r>
      <w:r w:rsidRPr="00447A21">
        <w:rPr>
          <w:rFonts w:ascii="Times New Roman" w:hAnsi="Times New Roman" w:cs="Times New Roman"/>
          <w:sz w:val="18"/>
          <w:szCs w:val="18"/>
        </w:rPr>
        <w:t xml:space="preserve"> </w:t>
      </w:r>
      <w:r w:rsidRPr="00447A21">
        <w:rPr>
          <w:rFonts w:ascii="Times New Roman" w:hAnsi="Times New Roman" w:cs="Times New Roman"/>
          <w:i/>
          <w:sz w:val="18"/>
          <w:szCs w:val="18"/>
        </w:rPr>
        <w:t xml:space="preserve">Véase: </w:t>
      </w:r>
      <w:r w:rsidRPr="00447A21">
        <w:rPr>
          <w:rFonts w:ascii="Times New Roman" w:hAnsi="Times New Roman" w:cs="Times New Roman"/>
          <w:sz w:val="18"/>
          <w:szCs w:val="18"/>
        </w:rPr>
        <w:t>Fernández Prieto, Carlos Alberto y otro s/infracción a la Ley 23.737 (Causa No. 10.099). Sentencia de la Corte Suprema de Justicia de la Nación.</w:t>
      </w:r>
    </w:p>
  </w:footnote>
  <w:footnote w:id="5">
    <w:p w:rsidR="006C1FC7" w:rsidRPr="00447A21" w:rsidRDefault="006C1FC7" w:rsidP="005C105B">
      <w:pPr>
        <w:pStyle w:val="Textonotapie"/>
        <w:keepNext/>
        <w:keepLines/>
        <w:pageBreakBefore/>
        <w:suppressLineNumbers/>
        <w:suppressAutoHyphens/>
        <w:jc w:val="both"/>
        <w:rPr>
          <w:rFonts w:ascii="Times New Roman" w:hAnsi="Times New Roman" w:cs="Times New Roman"/>
          <w:color w:val="auto"/>
          <w:sz w:val="18"/>
          <w:szCs w:val="18"/>
        </w:rPr>
      </w:pPr>
      <w:r w:rsidRPr="00447A21">
        <w:rPr>
          <w:rStyle w:val="Refdenotaalpie"/>
          <w:rFonts w:ascii="Times New Roman" w:hAnsi="Times New Roman" w:cs="Times New Roman"/>
          <w:color w:val="auto"/>
          <w:sz w:val="18"/>
          <w:szCs w:val="18"/>
        </w:rPr>
        <w:footnoteRef/>
      </w:r>
      <w:r w:rsidRPr="00447A21">
        <w:rPr>
          <w:rFonts w:ascii="Times New Roman" w:hAnsi="Times New Roman" w:cs="Times New Roman"/>
          <w:color w:val="auto"/>
          <w:sz w:val="18"/>
          <w:szCs w:val="18"/>
        </w:rPr>
        <w:t xml:space="preserve"> </w:t>
      </w:r>
      <w:r w:rsidRPr="00447A21">
        <w:rPr>
          <w:rFonts w:ascii="Times New Roman" w:hAnsi="Times New Roman" w:cs="Times New Roman"/>
          <w:color w:val="auto"/>
          <w:sz w:val="18"/>
          <w:szCs w:val="18"/>
          <w:lang w:val="es-ES"/>
        </w:rPr>
        <w:t xml:space="preserve">Corte IDH. Caso J. Vs. Perú. Fondo, Reparaciones y Costas. </w:t>
      </w:r>
      <w:r w:rsidRPr="00447A21">
        <w:rPr>
          <w:rFonts w:ascii="Times New Roman" w:hAnsi="Times New Roman" w:cs="Times New Roman"/>
          <w:color w:val="auto"/>
          <w:sz w:val="18"/>
          <w:szCs w:val="18"/>
        </w:rPr>
        <w:t xml:space="preserve">Sentencia de 27 de noviembre de 2013. Párr. 53. Disponible en: </w:t>
      </w:r>
      <w:hyperlink r:id="rId1" w:history="1">
        <w:r w:rsidRPr="00447A21">
          <w:rPr>
            <w:rStyle w:val="Hipervnculo"/>
            <w:rFonts w:ascii="Times New Roman" w:hAnsi="Times New Roman" w:cs="Times New Roman"/>
            <w:color w:val="auto"/>
            <w:sz w:val="18"/>
            <w:szCs w:val="18"/>
          </w:rPr>
          <w:t>http://www.corteidh.or.cr/docs/casos/articulos/seriec_275_esp.pdf</w:t>
        </w:r>
      </w:hyperlink>
      <w:r w:rsidRPr="00447A21">
        <w:rPr>
          <w:rFonts w:ascii="Times New Roman" w:hAnsi="Times New Roman" w:cs="Times New Roman"/>
          <w:color w:val="auto"/>
          <w:sz w:val="18"/>
          <w:szCs w:val="18"/>
        </w:rPr>
        <w:t xml:space="preserve"> </w:t>
      </w:r>
    </w:p>
  </w:footnote>
  <w:footnote w:id="6">
    <w:p w:rsidR="006C1FC7" w:rsidRPr="00447A21" w:rsidRDefault="006C1FC7" w:rsidP="005C105B">
      <w:pPr>
        <w:pStyle w:val="Textonotapie"/>
        <w:keepNext/>
        <w:keepLines/>
        <w:pageBreakBefore/>
        <w:suppressLineNumbers/>
        <w:suppressAutoHyphens/>
        <w:jc w:val="both"/>
        <w:rPr>
          <w:rFonts w:ascii="Times New Roman" w:hAnsi="Times New Roman" w:cs="Times New Roman"/>
          <w:color w:val="auto"/>
          <w:sz w:val="18"/>
          <w:szCs w:val="18"/>
        </w:rPr>
      </w:pPr>
      <w:r w:rsidRPr="00447A21">
        <w:rPr>
          <w:rStyle w:val="Refdenotaalpie"/>
          <w:rFonts w:ascii="Times New Roman" w:hAnsi="Times New Roman" w:cs="Times New Roman"/>
          <w:color w:val="auto"/>
          <w:sz w:val="18"/>
          <w:szCs w:val="18"/>
        </w:rPr>
        <w:footnoteRef/>
      </w:r>
      <w:r w:rsidRPr="00447A21">
        <w:rPr>
          <w:rFonts w:ascii="Times New Roman" w:hAnsi="Times New Roman" w:cs="Times New Roman"/>
          <w:color w:val="auto"/>
          <w:sz w:val="18"/>
          <w:szCs w:val="18"/>
        </w:rPr>
        <w:t xml:space="preserve"> Existen varios ejemplos en los que el ejercicio de contextualización alterna entre los fenómenos que ocurren a nivel nacional o general, y algunos específicos o replicados a nivel local. Algunos de ellos son: Corte IDH. Caso Masacre de Pueblo Bello VS. Colombia. Sentencia del 31 de enero de 2006. Disponible en: </w:t>
      </w:r>
      <w:hyperlink r:id="rId2" w:history="1">
        <w:r w:rsidRPr="00447A21">
          <w:rPr>
            <w:rStyle w:val="Hipervnculo"/>
            <w:rFonts w:ascii="Times New Roman" w:hAnsi="Times New Roman" w:cs="Times New Roman"/>
            <w:color w:val="auto"/>
            <w:sz w:val="18"/>
            <w:szCs w:val="18"/>
          </w:rPr>
          <w:t>http://www.corteidh.or.cr/docs/casos/articulos/seriec_140_esp.pdf</w:t>
        </w:r>
      </w:hyperlink>
      <w:r w:rsidRPr="00447A21">
        <w:rPr>
          <w:rFonts w:ascii="Times New Roman" w:hAnsi="Times New Roman" w:cs="Times New Roman"/>
          <w:color w:val="auto"/>
          <w:sz w:val="18"/>
          <w:szCs w:val="18"/>
        </w:rPr>
        <w:t xml:space="preserve">;  Corte IDH. Caso Defensor de Derechos Humanos y otros VS. Guatemala. Sentencia del 28 de agosto de 2014. Disponible en: </w:t>
      </w:r>
      <w:hyperlink r:id="rId3" w:history="1">
        <w:r w:rsidRPr="00447A21">
          <w:rPr>
            <w:rStyle w:val="Hipervnculo"/>
            <w:rFonts w:ascii="Times New Roman" w:hAnsi="Times New Roman" w:cs="Times New Roman"/>
            <w:color w:val="auto"/>
            <w:sz w:val="18"/>
            <w:szCs w:val="18"/>
          </w:rPr>
          <w:t>http://www.corteidh.or.cr/docs/casos/articulos/seriec_283_esp.pdf</w:t>
        </w:r>
      </w:hyperlink>
      <w:r w:rsidRPr="00447A21">
        <w:rPr>
          <w:rFonts w:ascii="Times New Roman" w:hAnsi="Times New Roman" w:cs="Times New Roman"/>
          <w:color w:val="auto"/>
          <w:sz w:val="18"/>
          <w:szCs w:val="18"/>
        </w:rPr>
        <w:t xml:space="preserve">; entre otros. Un ejemplo de un contexto eminentemente nacional es: Corte IDH. Caso Nadege Dorzema y otros VS. República Dominicana. Sentencia del 24 de octubre de 2011. Disponible en: </w:t>
      </w:r>
      <w:hyperlink r:id="rId4" w:history="1">
        <w:r w:rsidRPr="00447A21">
          <w:rPr>
            <w:rStyle w:val="Hipervnculo"/>
            <w:rFonts w:ascii="Times New Roman" w:hAnsi="Times New Roman" w:cs="Times New Roman"/>
            <w:color w:val="auto"/>
            <w:sz w:val="18"/>
            <w:szCs w:val="18"/>
          </w:rPr>
          <w:t>http://www.corteidh.or.cr/docs/casos/articulos/seriec_251_esp.pdf</w:t>
        </w:r>
      </w:hyperlink>
      <w:r w:rsidRPr="00447A21">
        <w:rPr>
          <w:rFonts w:ascii="Times New Roman" w:hAnsi="Times New Roman" w:cs="Times New Roman"/>
          <w:color w:val="auto"/>
          <w:sz w:val="18"/>
          <w:szCs w:val="18"/>
        </w:rPr>
        <w:t xml:space="preserve">. Uno de los casos más significativos, en donde el ejercicio elaborado por la Corte Interamericana se centró exclusivamente en el nivel local es: </w:t>
      </w:r>
      <w:r w:rsidRPr="00447A21">
        <w:rPr>
          <w:rFonts w:ascii="Times New Roman" w:hAnsi="Times New Roman" w:cs="Times New Roman"/>
          <w:color w:val="auto"/>
          <w:sz w:val="18"/>
          <w:szCs w:val="18"/>
          <w:lang w:val="es-ES"/>
        </w:rPr>
        <w:t xml:space="preserve">Corte IDH. Caso González y otras (“Campo Algodonero”) Vs. México. Fondo, Reparaciones y Costas. </w:t>
      </w:r>
      <w:r w:rsidRPr="00447A21">
        <w:rPr>
          <w:rFonts w:ascii="Times New Roman" w:hAnsi="Times New Roman" w:cs="Times New Roman"/>
          <w:color w:val="auto"/>
          <w:sz w:val="18"/>
          <w:szCs w:val="18"/>
        </w:rPr>
        <w:t xml:space="preserve">Sentencia de 16 de noviembre de 2009. Disponible en:  </w:t>
      </w:r>
      <w:hyperlink r:id="rId5" w:history="1">
        <w:r w:rsidRPr="00447A21">
          <w:rPr>
            <w:rStyle w:val="Hipervnculo"/>
            <w:rFonts w:ascii="Times New Roman" w:hAnsi="Times New Roman" w:cs="Times New Roman"/>
            <w:color w:val="auto"/>
            <w:sz w:val="18"/>
            <w:szCs w:val="18"/>
          </w:rPr>
          <w:t>http://www.corteidh.or.cr/docs/casos/articulos/seriec_205_esp.pdf</w:t>
        </w:r>
      </w:hyperlink>
      <w:r w:rsidRPr="00447A21">
        <w:rPr>
          <w:rFonts w:ascii="Times New Roman" w:hAnsi="Times New Roman" w:cs="Times New Roman"/>
          <w:color w:val="auto"/>
          <w:sz w:val="18"/>
          <w:szCs w:val="18"/>
        </w:rPr>
        <w:t>.</w:t>
      </w:r>
    </w:p>
  </w:footnote>
  <w:footnote w:id="7">
    <w:p w:rsidR="006C1FC7" w:rsidRPr="00447A21" w:rsidRDefault="006C1FC7" w:rsidP="00CD32AB">
      <w:pPr>
        <w:pStyle w:val="Textonotapie"/>
        <w:keepNext/>
        <w:keepLines/>
        <w:pageBreakBefore/>
        <w:suppressLineNumbers/>
        <w:suppressAutoHyphens/>
        <w:jc w:val="both"/>
        <w:rPr>
          <w:rFonts w:ascii="Times New Roman" w:hAnsi="Times New Roman" w:cs="Times New Roman"/>
          <w:color w:val="auto"/>
          <w:sz w:val="18"/>
          <w:szCs w:val="18"/>
        </w:rPr>
      </w:pPr>
      <w:r w:rsidRPr="00447A21">
        <w:rPr>
          <w:rStyle w:val="Refdenotaalpie"/>
          <w:rFonts w:ascii="Times New Roman" w:hAnsi="Times New Roman" w:cs="Times New Roman"/>
          <w:color w:val="auto"/>
          <w:sz w:val="18"/>
          <w:szCs w:val="18"/>
        </w:rPr>
        <w:footnoteRef/>
      </w:r>
      <w:r w:rsidRPr="00447A21">
        <w:rPr>
          <w:rFonts w:ascii="Times New Roman" w:hAnsi="Times New Roman" w:cs="Times New Roman"/>
          <w:color w:val="auto"/>
          <w:sz w:val="18"/>
          <w:szCs w:val="18"/>
        </w:rPr>
        <w:t xml:space="preserve"> International Bar Associaton’s Human Rights Institute (IBAHRI) &amp; Facultad Latinoamericana de Ciencias Sociales (FLACSO México). Violaciones, derechos humanos y contexto: herramientas propuestas para documentar e investigar. Manual de Análisis de Contexto para Casos de Violaciones a los Derechos Humanos. Pág. 12. Ed., IBAHRI &amp; FLACSO México. (marzo 2017). Disponible en: </w:t>
      </w:r>
      <w:hyperlink r:id="rId6" w:history="1">
        <w:r w:rsidRPr="00447A21">
          <w:rPr>
            <w:rStyle w:val="Hipervnculo"/>
            <w:rFonts w:ascii="Times New Roman" w:hAnsi="Times New Roman" w:cs="Times New Roman"/>
            <w:color w:val="auto"/>
            <w:sz w:val="18"/>
            <w:szCs w:val="18"/>
          </w:rPr>
          <w:t>http://www.flacso.edu.mx/sites/default/files/violaciones-ddhh-y-contexto-herramientas-propuestas-para-documentar-investigar.pdf</w:t>
        </w:r>
      </w:hyperlink>
      <w:r w:rsidRPr="00447A21">
        <w:rPr>
          <w:rFonts w:ascii="Times New Roman" w:hAnsi="Times New Roman" w:cs="Times New Roman"/>
          <w:color w:val="auto"/>
          <w:sz w:val="18"/>
          <w:szCs w:val="18"/>
        </w:rPr>
        <w:t xml:space="preserve">. </w:t>
      </w:r>
    </w:p>
  </w:footnote>
  <w:footnote w:id="8">
    <w:p w:rsidR="006C1FC7" w:rsidRPr="00447A21" w:rsidRDefault="006C1FC7" w:rsidP="00CD32AB">
      <w:pPr>
        <w:pStyle w:val="Textonotapie"/>
        <w:jc w:val="both"/>
        <w:rPr>
          <w:rFonts w:ascii="Times New Roman" w:hAnsi="Times New Roman" w:cs="Times New Roman"/>
          <w:sz w:val="18"/>
          <w:szCs w:val="18"/>
        </w:rPr>
      </w:pPr>
      <w:r w:rsidRPr="00447A21">
        <w:rPr>
          <w:rStyle w:val="Refdenotaalpie"/>
          <w:rFonts w:ascii="Times New Roman" w:hAnsi="Times New Roman" w:cs="Times New Roman"/>
          <w:sz w:val="18"/>
          <w:szCs w:val="18"/>
        </w:rPr>
        <w:footnoteRef/>
      </w:r>
      <w:r w:rsidRPr="00447A21">
        <w:rPr>
          <w:rFonts w:ascii="Times New Roman" w:hAnsi="Times New Roman" w:cs="Times New Roman"/>
          <w:sz w:val="18"/>
          <w:szCs w:val="18"/>
        </w:rPr>
        <w:t xml:space="preserve"> </w:t>
      </w:r>
      <w:r w:rsidRPr="00447A21">
        <w:rPr>
          <w:rFonts w:ascii="Times New Roman" w:hAnsi="Times New Roman" w:cs="Times New Roman"/>
          <w:i/>
          <w:sz w:val="18"/>
          <w:szCs w:val="18"/>
        </w:rPr>
        <w:t>Ibídem</w:t>
      </w:r>
      <w:r w:rsidRPr="00447A21">
        <w:rPr>
          <w:rFonts w:ascii="Times New Roman" w:hAnsi="Times New Roman" w:cs="Times New Roman"/>
          <w:sz w:val="18"/>
          <w:szCs w:val="18"/>
        </w:rPr>
        <w:t>. Pág. 14.</w:t>
      </w:r>
    </w:p>
  </w:footnote>
  <w:footnote w:id="9">
    <w:p w:rsidR="006C1FC7" w:rsidRPr="00447A21" w:rsidRDefault="006C1FC7" w:rsidP="00CD32AB">
      <w:pPr>
        <w:pStyle w:val="Textonotapie"/>
        <w:jc w:val="both"/>
        <w:rPr>
          <w:rFonts w:ascii="Times New Roman" w:hAnsi="Times New Roman" w:cs="Times New Roman"/>
          <w:sz w:val="18"/>
          <w:szCs w:val="18"/>
        </w:rPr>
      </w:pPr>
      <w:r w:rsidRPr="00447A21">
        <w:rPr>
          <w:rStyle w:val="Refdenotaalpie"/>
          <w:rFonts w:ascii="Times New Roman" w:hAnsi="Times New Roman" w:cs="Times New Roman"/>
          <w:sz w:val="18"/>
          <w:szCs w:val="18"/>
        </w:rPr>
        <w:footnoteRef/>
      </w:r>
      <w:r w:rsidRPr="00447A21">
        <w:rPr>
          <w:rFonts w:ascii="Times New Roman" w:hAnsi="Times New Roman" w:cs="Times New Roman"/>
          <w:sz w:val="18"/>
          <w:szCs w:val="18"/>
        </w:rPr>
        <w:t xml:space="preserve"> </w:t>
      </w:r>
      <w:r w:rsidRPr="00447A21">
        <w:rPr>
          <w:rFonts w:ascii="Times New Roman" w:hAnsi="Times New Roman" w:cs="Times New Roman"/>
          <w:bCs/>
          <w:sz w:val="18"/>
          <w:szCs w:val="18"/>
          <w:lang w:val="es-ES_tradnl"/>
        </w:rPr>
        <w:t xml:space="preserve">Corte IDH. Caso de Personas dominicanas y haitianas expulsadas Vs. República Dominicana. Excepciones Preliminares, Fondo, Reparaciones y Costas. Sentencia de 28 de agosto de 2014. Serie C No. 282. Disponible en: </w:t>
      </w:r>
      <w:hyperlink r:id="rId7" w:history="1">
        <w:r w:rsidRPr="00447A21">
          <w:rPr>
            <w:rStyle w:val="Hipervnculo"/>
            <w:rFonts w:ascii="Times New Roman" w:hAnsi="Times New Roman" w:cs="Times New Roman"/>
            <w:sz w:val="18"/>
            <w:szCs w:val="18"/>
          </w:rPr>
          <w:t>https://corteidh.or.cr/docs/casos/articulos/seriec_282_esp.pdf</w:t>
        </w:r>
      </w:hyperlink>
    </w:p>
  </w:footnote>
  <w:footnote w:id="10">
    <w:p w:rsidR="006C1FC7" w:rsidRPr="00447A21" w:rsidRDefault="006C1FC7" w:rsidP="00CD32AB">
      <w:pPr>
        <w:pStyle w:val="Textonotapie"/>
        <w:jc w:val="both"/>
        <w:rPr>
          <w:rFonts w:ascii="Times New Roman" w:hAnsi="Times New Roman" w:cs="Times New Roman"/>
          <w:sz w:val="18"/>
          <w:szCs w:val="18"/>
        </w:rPr>
      </w:pPr>
      <w:r w:rsidRPr="00447A21">
        <w:rPr>
          <w:rStyle w:val="Refdenotaalpie"/>
          <w:rFonts w:ascii="Times New Roman" w:hAnsi="Times New Roman" w:cs="Times New Roman"/>
          <w:sz w:val="18"/>
          <w:szCs w:val="18"/>
        </w:rPr>
        <w:footnoteRef/>
      </w:r>
      <w:r w:rsidRPr="00447A21">
        <w:rPr>
          <w:rFonts w:ascii="Times New Roman" w:hAnsi="Times New Roman" w:cs="Times New Roman"/>
          <w:sz w:val="18"/>
          <w:szCs w:val="18"/>
        </w:rPr>
        <w:t xml:space="preserve"> Corte IDH. Caso Blake Vs. Guatemala. Reparaciones y Costas. Sentencia de 22 de enero de 1999. Serie C No. 48. Disponible en: </w:t>
      </w:r>
      <w:hyperlink r:id="rId8" w:history="1">
        <w:r w:rsidRPr="00447A21">
          <w:rPr>
            <w:rStyle w:val="Hipervnculo"/>
            <w:rFonts w:ascii="Times New Roman" w:hAnsi="Times New Roman" w:cs="Times New Roman"/>
            <w:sz w:val="18"/>
            <w:szCs w:val="18"/>
          </w:rPr>
          <w:t>https://corteidh.or.cr/docs/casos/articulos/seriec_282_esp.pdf</w:t>
        </w:r>
      </w:hyperlink>
      <w:r w:rsidRPr="00447A21">
        <w:rPr>
          <w:rFonts w:ascii="Times New Roman" w:hAnsi="Times New Roman" w:cs="Times New Roman"/>
          <w:sz w:val="18"/>
          <w:szCs w:val="18"/>
        </w:rPr>
        <w:t xml:space="preserve"> </w:t>
      </w:r>
    </w:p>
  </w:footnote>
  <w:footnote w:id="11">
    <w:p w:rsidR="006C1FC7" w:rsidRPr="00447A21" w:rsidRDefault="006C1FC7" w:rsidP="00CD32AB">
      <w:pPr>
        <w:pStyle w:val="Textonotapie"/>
        <w:jc w:val="both"/>
        <w:rPr>
          <w:rFonts w:ascii="Times New Roman" w:hAnsi="Times New Roman" w:cs="Times New Roman"/>
          <w:sz w:val="18"/>
          <w:szCs w:val="18"/>
        </w:rPr>
      </w:pPr>
      <w:r w:rsidRPr="00447A21">
        <w:rPr>
          <w:rStyle w:val="Refdenotaalpie"/>
          <w:rFonts w:ascii="Times New Roman" w:hAnsi="Times New Roman" w:cs="Times New Roman"/>
          <w:sz w:val="18"/>
          <w:szCs w:val="18"/>
        </w:rPr>
        <w:footnoteRef/>
      </w:r>
      <w:r w:rsidRPr="00447A21">
        <w:rPr>
          <w:rFonts w:ascii="Times New Roman" w:hAnsi="Times New Roman" w:cs="Times New Roman"/>
          <w:sz w:val="18"/>
          <w:szCs w:val="18"/>
        </w:rPr>
        <w:t xml:space="preserve"> </w:t>
      </w:r>
      <w:r w:rsidRPr="00447A21">
        <w:rPr>
          <w:rFonts w:ascii="Times New Roman" w:hAnsi="Times New Roman" w:cs="Times New Roman"/>
          <w:bCs/>
          <w:sz w:val="18"/>
          <w:szCs w:val="18"/>
          <w:lang w:val="es-ES_tradnl"/>
        </w:rPr>
        <w:t xml:space="preserve">Corte IDH. Caso Espinoza Gonzáles Vs. Perú. Excepciones Preliminares, Fondo, Reparaciones y Costas. Sentencia de 20 de noviembre de 2014. Serie C No. 289. Disponible en: </w:t>
      </w:r>
      <w:hyperlink r:id="rId9" w:history="1">
        <w:r w:rsidRPr="00447A21">
          <w:rPr>
            <w:rStyle w:val="Hipervnculo"/>
            <w:rFonts w:ascii="Times New Roman" w:hAnsi="Times New Roman" w:cs="Times New Roman"/>
            <w:bCs/>
            <w:sz w:val="18"/>
            <w:szCs w:val="18"/>
            <w:lang w:val="es-ES_tradnl"/>
          </w:rPr>
          <w:t>https://www.corteidh.or.cr/docs/casos/articulos/seriec_289_esp.pdf</w:t>
        </w:r>
      </w:hyperlink>
      <w:r w:rsidRPr="00447A21">
        <w:rPr>
          <w:rFonts w:ascii="Times New Roman" w:hAnsi="Times New Roman" w:cs="Times New Roman"/>
          <w:bCs/>
          <w:sz w:val="18"/>
          <w:szCs w:val="18"/>
          <w:lang w:val="es-ES_tradnl"/>
        </w:rPr>
        <w:t xml:space="preserve"> </w:t>
      </w:r>
    </w:p>
  </w:footnote>
  <w:footnote w:id="12">
    <w:p w:rsidR="006C1FC7" w:rsidRPr="00447A21" w:rsidRDefault="006C1FC7" w:rsidP="00CD32AB">
      <w:pPr>
        <w:pStyle w:val="Textonotapie"/>
        <w:jc w:val="both"/>
        <w:rPr>
          <w:rFonts w:ascii="Times New Roman" w:hAnsi="Times New Roman" w:cs="Times New Roman"/>
          <w:sz w:val="18"/>
          <w:szCs w:val="18"/>
        </w:rPr>
      </w:pPr>
      <w:r w:rsidRPr="00447A21">
        <w:rPr>
          <w:rStyle w:val="Refdenotaalpie"/>
          <w:rFonts w:ascii="Times New Roman" w:hAnsi="Times New Roman" w:cs="Times New Roman"/>
          <w:sz w:val="18"/>
          <w:szCs w:val="18"/>
        </w:rPr>
        <w:footnoteRef/>
      </w:r>
      <w:r w:rsidRPr="00447A21">
        <w:rPr>
          <w:rFonts w:ascii="Times New Roman" w:hAnsi="Times New Roman" w:cs="Times New Roman"/>
          <w:sz w:val="18"/>
          <w:szCs w:val="18"/>
        </w:rPr>
        <w:t xml:space="preserve"> Corte IDH. Caso Genie Lacayo Vs. Nicaragua. Fondo, Reparaciones y Costas. Sentencia de 29 de enero de 1997. Serie C No. 30. Disponible en: </w:t>
      </w:r>
      <w:hyperlink r:id="rId10" w:history="1">
        <w:r w:rsidRPr="00447A21">
          <w:rPr>
            <w:rStyle w:val="Hipervnculo"/>
            <w:rFonts w:ascii="Times New Roman" w:hAnsi="Times New Roman" w:cs="Times New Roman"/>
            <w:sz w:val="18"/>
            <w:szCs w:val="18"/>
          </w:rPr>
          <w:t>https://www.corteidh.or.cr/docs/casos/articulos/seriec_30_esp.pdf</w:t>
        </w:r>
      </w:hyperlink>
      <w:r w:rsidRPr="00447A21">
        <w:rPr>
          <w:rFonts w:ascii="Times New Roman" w:hAnsi="Times New Roman" w:cs="Times New Roman"/>
          <w:sz w:val="18"/>
          <w:szCs w:val="18"/>
        </w:rPr>
        <w:t xml:space="preserve"> </w:t>
      </w:r>
    </w:p>
  </w:footnote>
  <w:footnote w:id="13">
    <w:p w:rsidR="006C1FC7" w:rsidRPr="00447A21" w:rsidRDefault="006C1FC7" w:rsidP="00CD32AB">
      <w:pPr>
        <w:pStyle w:val="Textonotapie"/>
        <w:jc w:val="both"/>
        <w:rPr>
          <w:rFonts w:ascii="Times New Roman" w:hAnsi="Times New Roman" w:cs="Times New Roman"/>
          <w:sz w:val="18"/>
          <w:szCs w:val="18"/>
        </w:rPr>
      </w:pPr>
      <w:r w:rsidRPr="00447A21">
        <w:rPr>
          <w:rStyle w:val="Refdenotaalpie"/>
          <w:rFonts w:ascii="Times New Roman" w:hAnsi="Times New Roman" w:cs="Times New Roman"/>
          <w:sz w:val="18"/>
          <w:szCs w:val="18"/>
        </w:rPr>
        <w:footnoteRef/>
      </w:r>
      <w:r w:rsidRPr="00447A21">
        <w:rPr>
          <w:rFonts w:ascii="Times New Roman" w:hAnsi="Times New Roman" w:cs="Times New Roman"/>
          <w:sz w:val="18"/>
          <w:szCs w:val="18"/>
        </w:rPr>
        <w:t xml:space="preserve"> Corte IDH. Caso Blake Vs. Guatemala. Reparaciones y Costas. Sentencia de 22 de enero de 1999. Serie C No. 48. Disponible en: </w:t>
      </w:r>
      <w:hyperlink r:id="rId11" w:history="1">
        <w:r w:rsidRPr="00447A21">
          <w:rPr>
            <w:rStyle w:val="Hipervnculo"/>
            <w:rFonts w:ascii="Times New Roman" w:hAnsi="Times New Roman" w:cs="Times New Roman"/>
            <w:sz w:val="18"/>
            <w:szCs w:val="18"/>
          </w:rPr>
          <w:t>https://corteidh.or.cr/docs/casos/articulos/seriec_282_esp.pdf</w:t>
        </w:r>
      </w:hyperlink>
    </w:p>
  </w:footnote>
  <w:footnote w:id="14">
    <w:p w:rsidR="006C1FC7" w:rsidRPr="00447A21" w:rsidRDefault="006C1FC7" w:rsidP="00447A21">
      <w:pPr>
        <w:pStyle w:val="Textonotapie"/>
        <w:keepNext/>
        <w:keepLines/>
        <w:pageBreakBefore/>
        <w:suppressLineNumbers/>
        <w:suppressAutoHyphens/>
        <w:jc w:val="both"/>
        <w:rPr>
          <w:rFonts w:ascii="Times New Roman" w:hAnsi="Times New Roman" w:cs="Times New Roman"/>
          <w:color w:val="auto"/>
          <w:sz w:val="18"/>
          <w:szCs w:val="18"/>
        </w:rPr>
      </w:pPr>
      <w:r w:rsidRPr="00447A21">
        <w:rPr>
          <w:rStyle w:val="Refdenotaalpie"/>
          <w:rFonts w:ascii="Times New Roman" w:hAnsi="Times New Roman" w:cs="Times New Roman"/>
          <w:sz w:val="18"/>
          <w:szCs w:val="18"/>
        </w:rPr>
        <w:footnoteRef/>
      </w:r>
      <w:r w:rsidRPr="00447A21">
        <w:rPr>
          <w:rFonts w:ascii="Times New Roman" w:hAnsi="Times New Roman" w:cs="Times New Roman"/>
          <w:sz w:val="18"/>
          <w:szCs w:val="18"/>
        </w:rPr>
        <w:t xml:space="preserve"> </w:t>
      </w:r>
      <w:r w:rsidRPr="00447A21">
        <w:rPr>
          <w:rFonts w:ascii="Times New Roman" w:hAnsi="Times New Roman" w:cs="Times New Roman"/>
          <w:color w:val="auto"/>
          <w:sz w:val="18"/>
          <w:szCs w:val="18"/>
        </w:rPr>
        <w:t xml:space="preserve">International Bar Associaton’s Human Rights Institute (IBAHRI) &amp; Facultad Latinoamericana de Ciencias Sociales (FLACSO México). Violaciones, derechos humanos y contexto: herramientas propuestas para documentar e investigar. Manual de Análisis de Contexto para Casos de Violaciones a los Derechos Humanos. Pág. 12. Ed., IBAHRI &amp; FLACSO México. (marzo 2017). Disponible en: </w:t>
      </w:r>
      <w:hyperlink r:id="rId12" w:history="1">
        <w:r w:rsidRPr="00447A21">
          <w:rPr>
            <w:rStyle w:val="Hipervnculo"/>
            <w:rFonts w:ascii="Times New Roman" w:hAnsi="Times New Roman" w:cs="Times New Roman"/>
            <w:color w:val="auto"/>
            <w:sz w:val="18"/>
            <w:szCs w:val="18"/>
          </w:rPr>
          <w:t>http://www.flacso.edu.mx/sites/default/files/violaciones-ddhh-y-contexto-herramientas-propuestas-para-documentar-investigar.pdf</w:t>
        </w:r>
      </w:hyperlink>
      <w:r w:rsidRPr="00447A21">
        <w:rPr>
          <w:rFonts w:ascii="Times New Roman" w:hAnsi="Times New Roman" w:cs="Times New Roman"/>
          <w:color w:val="auto"/>
          <w:sz w:val="18"/>
          <w:szCs w:val="18"/>
        </w:rPr>
        <w:t xml:space="preserve">. </w:t>
      </w:r>
    </w:p>
  </w:footnote>
  <w:footnote w:id="15">
    <w:p w:rsidR="006C1FC7" w:rsidRPr="00447A21" w:rsidRDefault="006C1FC7" w:rsidP="00980933">
      <w:pPr>
        <w:pStyle w:val="Textonotapie"/>
        <w:jc w:val="both"/>
        <w:rPr>
          <w:rFonts w:ascii="Times New Roman" w:hAnsi="Times New Roman" w:cs="Times New Roman"/>
          <w:sz w:val="18"/>
          <w:szCs w:val="18"/>
        </w:rPr>
      </w:pPr>
      <w:r w:rsidRPr="00447A21">
        <w:rPr>
          <w:rStyle w:val="Refdenotaalpie"/>
          <w:rFonts w:ascii="Times New Roman" w:hAnsi="Times New Roman" w:cs="Times New Roman"/>
          <w:sz w:val="18"/>
          <w:szCs w:val="18"/>
        </w:rPr>
        <w:footnoteRef/>
      </w:r>
      <w:r w:rsidRPr="00447A21">
        <w:rPr>
          <w:rFonts w:ascii="Times New Roman" w:hAnsi="Times New Roman" w:cs="Times New Roman"/>
          <w:sz w:val="18"/>
          <w:szCs w:val="18"/>
        </w:rPr>
        <w:t xml:space="preserve"> OEA. Declaración de Antigua Guatemala, “Por una política integral frente al problema mundial de las drogas en las Américas” 7 de junio de 2013 (Aprobada en la cuarta sesión plenaria, celebrada el 6 de junio de 2013). Disponible en: </w:t>
      </w:r>
      <w:hyperlink r:id="rId13" w:history="1">
        <w:r w:rsidRPr="00447A21">
          <w:rPr>
            <w:rStyle w:val="Hipervnculo"/>
            <w:rFonts w:ascii="Times New Roman" w:hAnsi="Times New Roman" w:cs="Times New Roman"/>
            <w:sz w:val="18"/>
            <w:szCs w:val="18"/>
          </w:rPr>
          <w:t>https://www.oas.org/es/centro_noticias/comunicado_prensa.asp?sCodigo=D-010</w:t>
        </w:r>
      </w:hyperlink>
      <w:r w:rsidRPr="00447A21">
        <w:rPr>
          <w:rFonts w:ascii="Times New Roman" w:hAnsi="Times New Roman" w:cs="Times New Roman"/>
          <w:sz w:val="18"/>
          <w:szCs w:val="18"/>
        </w:rPr>
        <w:t xml:space="preserve"> </w:t>
      </w:r>
    </w:p>
  </w:footnote>
  <w:footnote w:id="16">
    <w:p w:rsidR="006C1FC7" w:rsidRPr="00447A21" w:rsidRDefault="006C1FC7" w:rsidP="004214AA">
      <w:pPr>
        <w:pStyle w:val="Textonotapie"/>
        <w:jc w:val="both"/>
        <w:rPr>
          <w:rFonts w:ascii="Times New Roman" w:hAnsi="Times New Roman" w:cs="Times New Roman"/>
          <w:sz w:val="18"/>
          <w:szCs w:val="18"/>
        </w:rPr>
      </w:pPr>
      <w:r w:rsidRPr="00447A21">
        <w:rPr>
          <w:rStyle w:val="Refdenotaalpie"/>
          <w:rFonts w:ascii="Times New Roman" w:hAnsi="Times New Roman" w:cs="Times New Roman"/>
          <w:sz w:val="18"/>
          <w:szCs w:val="18"/>
        </w:rPr>
        <w:footnoteRef/>
      </w:r>
      <w:r w:rsidRPr="00447A21">
        <w:rPr>
          <w:rFonts w:ascii="Times New Roman" w:hAnsi="Times New Roman" w:cs="Times New Roman"/>
          <w:sz w:val="18"/>
          <w:szCs w:val="18"/>
        </w:rPr>
        <w:t xml:space="preserve"> </w:t>
      </w:r>
      <w:r w:rsidRPr="00447A21">
        <w:rPr>
          <w:rFonts w:ascii="Times New Roman" w:hAnsi="Times New Roman" w:cs="Times New Roman"/>
          <w:i/>
          <w:sz w:val="18"/>
          <w:szCs w:val="18"/>
        </w:rPr>
        <w:t>Véase</w:t>
      </w:r>
      <w:r w:rsidRPr="00447A21">
        <w:rPr>
          <w:rFonts w:ascii="Times New Roman" w:hAnsi="Times New Roman" w:cs="Times New Roman"/>
          <w:sz w:val="18"/>
          <w:szCs w:val="18"/>
        </w:rPr>
        <w:t xml:space="preserve">, por ejemplo, los casos: Suárez Rosero Vs. Ecuador, Chaparro Álvarez y Lapo Iñiguez Vs. Ecuador, Cabrera García y Montiel Vs. México y, Herrera Espinosa Vs. Ecuador. </w:t>
      </w:r>
    </w:p>
  </w:footnote>
  <w:footnote w:id="17">
    <w:p w:rsidR="006C1FC7" w:rsidRPr="00447A21" w:rsidRDefault="006C1FC7" w:rsidP="00C22FBE">
      <w:pPr>
        <w:pStyle w:val="Textonotapie"/>
        <w:jc w:val="both"/>
        <w:rPr>
          <w:rFonts w:ascii="Times New Roman" w:hAnsi="Times New Roman" w:cs="Times New Roman"/>
          <w:sz w:val="18"/>
          <w:szCs w:val="18"/>
        </w:rPr>
      </w:pPr>
      <w:r w:rsidRPr="00447A21">
        <w:rPr>
          <w:rStyle w:val="Refdenotaalpie"/>
          <w:rFonts w:ascii="Times New Roman" w:hAnsi="Times New Roman" w:cs="Times New Roman"/>
          <w:sz w:val="18"/>
          <w:szCs w:val="18"/>
        </w:rPr>
        <w:footnoteRef/>
      </w:r>
      <w:r w:rsidRPr="00447A21">
        <w:rPr>
          <w:rFonts w:ascii="Times New Roman" w:hAnsi="Times New Roman" w:cs="Times New Roman"/>
          <w:sz w:val="18"/>
          <w:szCs w:val="18"/>
        </w:rPr>
        <w:t xml:space="preserve"> Corda, Alejandro. La estrategia fallida: encarcelamientos por delitos relacionados con estupefacientes en la Argentina / R. Alejandro Coord.; prólogo de Diana Rossi; Horacio Cattani. - 1a ed. revisada. - Ciudad Autónoma de Buenos Aires: Intercambios Asociación Civil: Universidad de Buenos Aires. Facultad de Ciencias Sociales, 2016, pág. 15.</w:t>
      </w:r>
    </w:p>
  </w:footnote>
  <w:footnote w:id="18">
    <w:p w:rsidR="006C1FC7" w:rsidRPr="00447A21" w:rsidRDefault="006C1FC7">
      <w:pPr>
        <w:pStyle w:val="Textonotapie"/>
        <w:rPr>
          <w:rFonts w:ascii="Times New Roman" w:hAnsi="Times New Roman" w:cs="Times New Roman"/>
          <w:sz w:val="18"/>
          <w:szCs w:val="18"/>
        </w:rPr>
      </w:pPr>
      <w:r w:rsidRPr="00447A21">
        <w:rPr>
          <w:rStyle w:val="Refdenotaalpie"/>
          <w:rFonts w:ascii="Times New Roman" w:hAnsi="Times New Roman" w:cs="Times New Roman"/>
          <w:sz w:val="18"/>
          <w:szCs w:val="18"/>
        </w:rPr>
        <w:footnoteRef/>
      </w:r>
      <w:r w:rsidRPr="00447A21">
        <w:rPr>
          <w:rFonts w:ascii="Times New Roman" w:hAnsi="Times New Roman" w:cs="Times New Roman"/>
          <w:sz w:val="18"/>
          <w:szCs w:val="18"/>
        </w:rPr>
        <w:t xml:space="preserve"> </w:t>
      </w:r>
      <w:r w:rsidRPr="00447A21">
        <w:rPr>
          <w:rFonts w:ascii="Times New Roman" w:hAnsi="Times New Roman" w:cs="Times New Roman"/>
          <w:i/>
          <w:sz w:val="18"/>
          <w:szCs w:val="18"/>
        </w:rPr>
        <w:t>Cfr. Ibídem</w:t>
      </w:r>
      <w:r w:rsidRPr="00447A21">
        <w:rPr>
          <w:rFonts w:ascii="Times New Roman" w:hAnsi="Times New Roman" w:cs="Times New Roman"/>
          <w:sz w:val="18"/>
          <w:szCs w:val="18"/>
        </w:rPr>
        <w:t xml:space="preserve">. </w:t>
      </w:r>
    </w:p>
  </w:footnote>
  <w:footnote w:id="19">
    <w:p w:rsidR="006C1FC7" w:rsidRPr="00447A21" w:rsidRDefault="006C1FC7" w:rsidP="000E21D3">
      <w:pPr>
        <w:pStyle w:val="Textonotapie"/>
        <w:jc w:val="both"/>
        <w:rPr>
          <w:rFonts w:ascii="Times New Roman" w:hAnsi="Times New Roman" w:cs="Times New Roman"/>
          <w:sz w:val="18"/>
          <w:szCs w:val="18"/>
        </w:rPr>
      </w:pPr>
      <w:r w:rsidRPr="00447A21">
        <w:rPr>
          <w:rStyle w:val="Refdenotaalpie"/>
          <w:rFonts w:ascii="Times New Roman" w:hAnsi="Times New Roman" w:cs="Times New Roman"/>
          <w:sz w:val="18"/>
          <w:szCs w:val="18"/>
        </w:rPr>
        <w:footnoteRef/>
      </w:r>
      <w:r w:rsidRPr="00447A21">
        <w:rPr>
          <w:rFonts w:ascii="Times New Roman" w:hAnsi="Times New Roman" w:cs="Times New Roman"/>
          <w:i/>
          <w:sz w:val="18"/>
          <w:szCs w:val="18"/>
        </w:rPr>
        <w:t xml:space="preserve"> Cfr. Ibídem. Véase</w:t>
      </w:r>
      <w:r w:rsidRPr="00447A21">
        <w:rPr>
          <w:rFonts w:ascii="Times New Roman" w:hAnsi="Times New Roman" w:cs="Times New Roman"/>
          <w:sz w:val="18"/>
          <w:szCs w:val="18"/>
        </w:rPr>
        <w:t xml:space="preserve"> también Zaffaroni, Eugenio Raúl, Alejandro Slokar y Alejandro Alagia (2011). Manual de Derecho Penal: Parte General. 2° edición. Buenos Aires: Ediar.</w:t>
      </w:r>
    </w:p>
  </w:footnote>
  <w:footnote w:id="20">
    <w:p w:rsidR="006C1FC7" w:rsidRPr="00447A21" w:rsidRDefault="006C1FC7" w:rsidP="000E21D3">
      <w:pPr>
        <w:pStyle w:val="Textonotapie"/>
        <w:jc w:val="both"/>
        <w:rPr>
          <w:rFonts w:ascii="Times New Roman" w:hAnsi="Times New Roman" w:cs="Times New Roman"/>
          <w:sz w:val="18"/>
          <w:szCs w:val="18"/>
        </w:rPr>
      </w:pPr>
      <w:r w:rsidRPr="00447A21">
        <w:rPr>
          <w:rStyle w:val="Refdenotaalpie"/>
          <w:rFonts w:ascii="Times New Roman" w:hAnsi="Times New Roman" w:cs="Times New Roman"/>
          <w:sz w:val="18"/>
          <w:szCs w:val="18"/>
        </w:rPr>
        <w:footnoteRef/>
      </w:r>
      <w:r w:rsidRPr="00447A21">
        <w:rPr>
          <w:rFonts w:ascii="Times New Roman" w:hAnsi="Times New Roman" w:cs="Times New Roman"/>
          <w:sz w:val="18"/>
          <w:szCs w:val="18"/>
        </w:rPr>
        <w:t xml:space="preserve"> </w:t>
      </w:r>
      <w:r w:rsidRPr="00447A21">
        <w:rPr>
          <w:rFonts w:ascii="Times New Roman" w:hAnsi="Times New Roman" w:cs="Times New Roman"/>
          <w:i/>
          <w:sz w:val="18"/>
          <w:szCs w:val="18"/>
        </w:rPr>
        <w:t>Véase</w:t>
      </w:r>
      <w:r w:rsidRPr="00447A21">
        <w:rPr>
          <w:rFonts w:ascii="Times New Roman" w:hAnsi="Times New Roman" w:cs="Times New Roman"/>
          <w:sz w:val="18"/>
          <w:szCs w:val="18"/>
        </w:rPr>
        <w:t xml:space="preserve"> artículos 5 y 14 de la Ley 23.737</w:t>
      </w:r>
    </w:p>
  </w:footnote>
  <w:footnote w:id="21">
    <w:p w:rsidR="006C1FC7" w:rsidRPr="00447A21" w:rsidRDefault="006C1FC7" w:rsidP="000E21D3">
      <w:pPr>
        <w:pStyle w:val="Textonotapie"/>
        <w:jc w:val="both"/>
        <w:rPr>
          <w:rFonts w:ascii="Times New Roman" w:hAnsi="Times New Roman" w:cs="Times New Roman"/>
          <w:sz w:val="18"/>
          <w:szCs w:val="18"/>
        </w:rPr>
      </w:pPr>
      <w:r w:rsidRPr="00447A21">
        <w:rPr>
          <w:rStyle w:val="Refdenotaalpie"/>
          <w:rFonts w:ascii="Times New Roman" w:hAnsi="Times New Roman" w:cs="Times New Roman"/>
          <w:sz w:val="18"/>
          <w:szCs w:val="18"/>
        </w:rPr>
        <w:footnoteRef/>
      </w:r>
      <w:r w:rsidRPr="00447A21">
        <w:rPr>
          <w:rFonts w:ascii="Times New Roman" w:hAnsi="Times New Roman" w:cs="Times New Roman"/>
          <w:sz w:val="18"/>
          <w:szCs w:val="18"/>
        </w:rPr>
        <w:t xml:space="preserve"> </w:t>
      </w:r>
      <w:r w:rsidRPr="00F31721">
        <w:rPr>
          <w:rFonts w:ascii="Times New Roman" w:hAnsi="Times New Roman" w:cs="Times New Roman"/>
          <w:i/>
          <w:sz w:val="18"/>
          <w:szCs w:val="18"/>
        </w:rPr>
        <w:t>Véase:</w:t>
      </w:r>
      <w:r w:rsidRPr="00447A21">
        <w:rPr>
          <w:rFonts w:ascii="Times New Roman" w:hAnsi="Times New Roman" w:cs="Times New Roman"/>
          <w:sz w:val="18"/>
          <w:szCs w:val="18"/>
        </w:rPr>
        <w:t xml:space="preserve"> Escrito de Argumentos, Solicitudes y Pruebas. Caso Fernández Prieto y otro Vs. Argentina, pág. 9.</w:t>
      </w:r>
    </w:p>
    <w:p w:rsidR="006C1FC7" w:rsidRPr="00447A21" w:rsidRDefault="006C1FC7">
      <w:pPr>
        <w:pStyle w:val="Textonotapie"/>
        <w:rPr>
          <w:rFonts w:ascii="Times New Roman" w:hAnsi="Times New Roman" w:cs="Times New Roman"/>
          <w:sz w:val="18"/>
          <w:szCs w:val="18"/>
        </w:rPr>
      </w:pPr>
    </w:p>
  </w:footnote>
  <w:footnote w:id="22">
    <w:p w:rsidR="006C1FC7" w:rsidRPr="00447A21" w:rsidRDefault="006C1FC7" w:rsidP="00056585">
      <w:pPr>
        <w:pStyle w:val="Textonotapie"/>
        <w:rPr>
          <w:rFonts w:ascii="Times New Roman" w:hAnsi="Times New Roman" w:cs="Times New Roman"/>
          <w:sz w:val="18"/>
          <w:szCs w:val="18"/>
        </w:rPr>
      </w:pPr>
      <w:r w:rsidRPr="00447A21">
        <w:rPr>
          <w:rStyle w:val="Refdenotaalpie"/>
          <w:rFonts w:ascii="Times New Roman" w:hAnsi="Times New Roman" w:cs="Times New Roman"/>
          <w:sz w:val="18"/>
          <w:szCs w:val="18"/>
        </w:rPr>
        <w:footnoteRef/>
      </w:r>
      <w:r w:rsidRPr="00447A21">
        <w:rPr>
          <w:rFonts w:ascii="Times New Roman" w:hAnsi="Times New Roman" w:cs="Times New Roman"/>
          <w:sz w:val="18"/>
          <w:szCs w:val="18"/>
        </w:rPr>
        <w:t xml:space="preserve"> Corda Alejandro. Criminalización de los usuarios de drogas en la Argentina en Voces en el Fénix Año 6, Nº 42, EL LABERINTO DEL FAUNO, marzo 2015. Disponible en: </w:t>
      </w:r>
      <w:hyperlink r:id="rId14" w:history="1">
        <w:r w:rsidRPr="00447A21">
          <w:rPr>
            <w:rStyle w:val="Hipervnculo"/>
            <w:rFonts w:ascii="Times New Roman" w:hAnsi="Times New Roman" w:cs="Times New Roman"/>
            <w:sz w:val="18"/>
            <w:szCs w:val="18"/>
          </w:rPr>
          <w:t>https://www.vocesenelfenix.com/sites/default/files/numero_pdf/fenix42%20baja.pdf</w:t>
        </w:r>
      </w:hyperlink>
      <w:r w:rsidRPr="00447A21">
        <w:rPr>
          <w:rFonts w:ascii="Times New Roman" w:hAnsi="Times New Roman" w:cs="Times New Roman"/>
          <w:sz w:val="18"/>
          <w:szCs w:val="18"/>
        </w:rPr>
        <w:t xml:space="preserve"> </w:t>
      </w:r>
    </w:p>
  </w:footnote>
  <w:footnote w:id="23">
    <w:p w:rsidR="006C1FC7" w:rsidRPr="00447A21" w:rsidRDefault="006C1FC7" w:rsidP="006053D1">
      <w:pPr>
        <w:pStyle w:val="Textonotapie"/>
        <w:jc w:val="both"/>
        <w:rPr>
          <w:rFonts w:ascii="Times New Roman" w:hAnsi="Times New Roman" w:cs="Times New Roman"/>
          <w:sz w:val="18"/>
          <w:szCs w:val="18"/>
        </w:rPr>
      </w:pPr>
      <w:r w:rsidRPr="00447A21">
        <w:rPr>
          <w:rStyle w:val="Refdenotaalpie"/>
          <w:rFonts w:ascii="Times New Roman" w:hAnsi="Times New Roman" w:cs="Times New Roman"/>
          <w:sz w:val="18"/>
          <w:szCs w:val="18"/>
        </w:rPr>
        <w:footnoteRef/>
      </w:r>
      <w:r w:rsidRPr="00447A21">
        <w:rPr>
          <w:rFonts w:ascii="Times New Roman" w:hAnsi="Times New Roman" w:cs="Times New Roman"/>
          <w:sz w:val="18"/>
          <w:szCs w:val="18"/>
        </w:rPr>
        <w:t xml:space="preserve"> CELS. El impacto de la política de drogas en los derechos humanos. La experiencia del continente americano, pág. 24. Disponible en: </w:t>
      </w:r>
      <w:hyperlink r:id="rId15" w:history="1">
        <w:r w:rsidRPr="00447A21">
          <w:rPr>
            <w:rStyle w:val="Hipervnculo"/>
            <w:rFonts w:ascii="Times New Roman" w:hAnsi="Times New Roman" w:cs="Times New Roman"/>
            <w:sz w:val="18"/>
            <w:szCs w:val="18"/>
          </w:rPr>
          <w:t>https://www.cels.org.ar/web/wp-content/uploads/2016/10/El-impacto-de-las-politicas-de-drogas-en-los-derechos-humanos.-La-experiencia-del-continente-americano..pdf</w:t>
        </w:r>
      </w:hyperlink>
    </w:p>
  </w:footnote>
  <w:footnote w:id="24">
    <w:p w:rsidR="006C1FC7" w:rsidRPr="00447A21" w:rsidRDefault="006C1FC7" w:rsidP="006053D1">
      <w:pPr>
        <w:pStyle w:val="Textonotapie"/>
        <w:jc w:val="both"/>
        <w:rPr>
          <w:rFonts w:ascii="Times New Roman" w:hAnsi="Times New Roman" w:cs="Times New Roman"/>
          <w:sz w:val="18"/>
          <w:szCs w:val="18"/>
        </w:rPr>
      </w:pPr>
      <w:r w:rsidRPr="00447A21">
        <w:rPr>
          <w:rStyle w:val="Refdenotaalpie"/>
          <w:rFonts w:ascii="Times New Roman" w:hAnsi="Times New Roman" w:cs="Times New Roman"/>
          <w:sz w:val="18"/>
          <w:szCs w:val="18"/>
        </w:rPr>
        <w:footnoteRef/>
      </w:r>
      <w:r w:rsidRPr="00447A21">
        <w:rPr>
          <w:rFonts w:ascii="Times New Roman" w:hAnsi="Times New Roman" w:cs="Times New Roman"/>
          <w:sz w:val="18"/>
          <w:szCs w:val="18"/>
        </w:rPr>
        <w:t xml:space="preserve"> CELS. La Guerra contra el narcotráfico, una guerra contra los pobres. Disponible en: </w:t>
      </w:r>
      <w:hyperlink r:id="rId16" w:history="1">
        <w:r w:rsidRPr="00447A21">
          <w:rPr>
            <w:rStyle w:val="Hipervnculo"/>
            <w:rFonts w:ascii="Times New Roman" w:hAnsi="Times New Roman" w:cs="Times New Roman"/>
            <w:sz w:val="18"/>
            <w:szCs w:val="18"/>
          </w:rPr>
          <w:t>http://www.cels.org.ar/drogas/index.html</w:t>
        </w:r>
      </w:hyperlink>
      <w:r w:rsidRPr="00447A21">
        <w:rPr>
          <w:rFonts w:ascii="Times New Roman" w:hAnsi="Times New Roman" w:cs="Times New Roman"/>
          <w:sz w:val="18"/>
          <w:szCs w:val="18"/>
        </w:rPr>
        <w:t xml:space="preserve"> </w:t>
      </w:r>
    </w:p>
  </w:footnote>
  <w:footnote w:id="25">
    <w:p w:rsidR="006C1FC7" w:rsidRPr="00447A21" w:rsidRDefault="006C1FC7" w:rsidP="006053D1">
      <w:pPr>
        <w:pStyle w:val="Textonotapie"/>
        <w:jc w:val="both"/>
        <w:rPr>
          <w:rFonts w:ascii="Times New Roman" w:hAnsi="Times New Roman" w:cs="Times New Roman"/>
          <w:i/>
          <w:sz w:val="18"/>
          <w:szCs w:val="18"/>
        </w:rPr>
      </w:pPr>
      <w:r w:rsidRPr="00447A21">
        <w:rPr>
          <w:rStyle w:val="Refdenotaalpie"/>
          <w:rFonts w:ascii="Times New Roman" w:hAnsi="Times New Roman" w:cs="Times New Roman"/>
          <w:sz w:val="18"/>
          <w:szCs w:val="18"/>
        </w:rPr>
        <w:footnoteRef/>
      </w:r>
      <w:r w:rsidRPr="00447A21">
        <w:rPr>
          <w:rFonts w:ascii="Times New Roman" w:hAnsi="Times New Roman" w:cs="Times New Roman"/>
          <w:sz w:val="18"/>
          <w:szCs w:val="18"/>
        </w:rPr>
        <w:t xml:space="preserve"> </w:t>
      </w:r>
      <w:r w:rsidRPr="00447A21">
        <w:rPr>
          <w:rFonts w:ascii="Times New Roman" w:hAnsi="Times New Roman" w:cs="Times New Roman"/>
          <w:i/>
          <w:sz w:val="18"/>
          <w:szCs w:val="18"/>
        </w:rPr>
        <w:t xml:space="preserve">Ibídem. </w:t>
      </w:r>
    </w:p>
  </w:footnote>
  <w:footnote w:id="26">
    <w:p w:rsidR="006C1FC7" w:rsidRPr="00447A21" w:rsidRDefault="006C1FC7" w:rsidP="006053D1">
      <w:pPr>
        <w:pStyle w:val="Textonotapie"/>
        <w:jc w:val="both"/>
        <w:rPr>
          <w:rFonts w:ascii="Times New Roman" w:hAnsi="Times New Roman" w:cs="Times New Roman"/>
          <w:sz w:val="18"/>
          <w:szCs w:val="18"/>
        </w:rPr>
      </w:pPr>
      <w:r w:rsidRPr="00447A21">
        <w:rPr>
          <w:rStyle w:val="Refdenotaalpie"/>
          <w:rFonts w:ascii="Times New Roman" w:hAnsi="Times New Roman" w:cs="Times New Roman"/>
          <w:sz w:val="18"/>
          <w:szCs w:val="18"/>
        </w:rPr>
        <w:footnoteRef/>
      </w:r>
      <w:r w:rsidRPr="00447A21">
        <w:rPr>
          <w:rFonts w:ascii="Times New Roman" w:hAnsi="Times New Roman" w:cs="Times New Roman"/>
          <w:sz w:val="18"/>
          <w:szCs w:val="18"/>
        </w:rPr>
        <w:t xml:space="preserve"> </w:t>
      </w:r>
      <w:r w:rsidRPr="00447A21">
        <w:rPr>
          <w:rFonts w:ascii="Times New Roman" w:hAnsi="Times New Roman" w:cs="Times New Roman"/>
          <w:i/>
          <w:sz w:val="18"/>
          <w:szCs w:val="18"/>
        </w:rPr>
        <w:t xml:space="preserve">Cfr. </w:t>
      </w:r>
      <w:r w:rsidRPr="00447A21">
        <w:rPr>
          <w:rFonts w:ascii="Times New Roman" w:hAnsi="Times New Roman" w:cs="Times New Roman"/>
          <w:sz w:val="18"/>
          <w:szCs w:val="18"/>
        </w:rPr>
        <w:t xml:space="preserve">ONU. Informe del Grupo de Trabajo sobre la Detención Arbitraria de Naciones Unidas acerca de su misión a la Argentina, A/HRC/39/45/Add. Disponible en: </w:t>
      </w:r>
      <w:hyperlink r:id="rId17" w:history="1">
        <w:r w:rsidRPr="00447A21">
          <w:rPr>
            <w:rStyle w:val="Hipervnculo"/>
            <w:rFonts w:ascii="Times New Roman" w:hAnsi="Times New Roman" w:cs="Times New Roman"/>
            <w:sz w:val="18"/>
            <w:szCs w:val="18"/>
          </w:rPr>
          <w:t>https://documents-dds-ny.un.org/doc/UNDOC/GEN/G16/176/94/PDF/G1617694.pdf?OpenElement</w:t>
        </w:r>
      </w:hyperlink>
      <w:r w:rsidRPr="00447A21">
        <w:rPr>
          <w:rFonts w:ascii="Times New Roman" w:hAnsi="Times New Roman" w:cs="Times New Roman"/>
          <w:sz w:val="18"/>
          <w:szCs w:val="18"/>
        </w:rPr>
        <w:t xml:space="preserve"> </w:t>
      </w:r>
    </w:p>
  </w:footnote>
  <w:footnote w:id="27">
    <w:p w:rsidR="006C1FC7" w:rsidRPr="00447A21" w:rsidRDefault="006C1FC7" w:rsidP="00DF2559">
      <w:pPr>
        <w:pStyle w:val="Textonotapie"/>
        <w:rPr>
          <w:rFonts w:ascii="Times New Roman" w:hAnsi="Times New Roman" w:cs="Times New Roman"/>
          <w:sz w:val="18"/>
          <w:szCs w:val="18"/>
        </w:rPr>
      </w:pPr>
      <w:r w:rsidRPr="00447A21">
        <w:rPr>
          <w:rStyle w:val="Refdenotaalpie"/>
          <w:rFonts w:ascii="Times New Roman" w:hAnsi="Times New Roman" w:cs="Times New Roman"/>
          <w:sz w:val="18"/>
          <w:szCs w:val="18"/>
        </w:rPr>
        <w:footnoteRef/>
      </w:r>
      <w:r w:rsidRPr="00447A21">
        <w:rPr>
          <w:rFonts w:ascii="Times New Roman" w:hAnsi="Times New Roman" w:cs="Times New Roman"/>
          <w:i/>
          <w:sz w:val="18"/>
          <w:szCs w:val="18"/>
        </w:rPr>
        <w:t xml:space="preserve"> Ibídem.</w:t>
      </w:r>
    </w:p>
  </w:footnote>
  <w:footnote w:id="28">
    <w:p w:rsidR="006C1FC7" w:rsidRPr="00447A21" w:rsidRDefault="006C1FC7" w:rsidP="00183573">
      <w:pPr>
        <w:pStyle w:val="Textonotapie"/>
        <w:rPr>
          <w:rFonts w:ascii="Times New Roman" w:hAnsi="Times New Roman" w:cs="Times New Roman"/>
          <w:sz w:val="18"/>
          <w:szCs w:val="18"/>
        </w:rPr>
      </w:pPr>
      <w:r w:rsidRPr="00447A21">
        <w:rPr>
          <w:rStyle w:val="Refdenotaalpie"/>
          <w:rFonts w:ascii="Times New Roman" w:hAnsi="Times New Roman" w:cs="Times New Roman"/>
          <w:sz w:val="18"/>
          <w:szCs w:val="18"/>
        </w:rPr>
        <w:footnoteRef/>
      </w:r>
      <w:r w:rsidRPr="00447A21">
        <w:rPr>
          <w:rFonts w:ascii="Times New Roman" w:hAnsi="Times New Roman" w:cs="Times New Roman"/>
          <w:sz w:val="18"/>
          <w:szCs w:val="18"/>
        </w:rPr>
        <w:t xml:space="preserve"> </w:t>
      </w:r>
      <w:r w:rsidRPr="00447A21">
        <w:rPr>
          <w:rFonts w:ascii="Times New Roman" w:hAnsi="Times New Roman" w:cs="Times New Roman"/>
          <w:i/>
          <w:sz w:val="18"/>
          <w:szCs w:val="18"/>
        </w:rPr>
        <w:t xml:space="preserve">Cfr. </w:t>
      </w:r>
      <w:r w:rsidRPr="00447A21">
        <w:rPr>
          <w:rFonts w:ascii="Times New Roman" w:hAnsi="Times New Roman" w:cs="Times New Roman"/>
          <w:sz w:val="18"/>
          <w:szCs w:val="18"/>
        </w:rPr>
        <w:t xml:space="preserve">ONU. Comité de Derechos Humanos, Examen de los informes presentados por los estados partes con arreglo al artículo 40 del Pacto, Observaciones finales, Argentina, CCPR/C/ARG/CO/4, 31 de marzo de 2010, párr. 15. Disponible en: </w:t>
      </w:r>
      <w:hyperlink r:id="rId18" w:history="1">
        <w:r w:rsidR="00447A21" w:rsidRPr="00447A21">
          <w:rPr>
            <w:rStyle w:val="Hipervnculo"/>
            <w:rFonts w:ascii="Times New Roman" w:hAnsi="Times New Roman" w:cs="Times New Roman"/>
            <w:sz w:val="18"/>
            <w:szCs w:val="18"/>
            <w:lang w:val="es-ES_tradnl"/>
          </w:rPr>
          <w:t>https://tbinternet.ohchr.org/_layouts/15/treatybodyexternal/Download.aspx?symbolno=CCPR%2FC%2F%20ARG%2FCO%2F4&amp;Lang=es</w:t>
        </w:r>
      </w:hyperlink>
      <w:r w:rsidR="00447A21">
        <w:rPr>
          <w:rFonts w:ascii="Times New Roman" w:hAnsi="Times New Roman" w:cs="Times New Roman"/>
          <w:sz w:val="18"/>
          <w:szCs w:val="18"/>
        </w:rPr>
        <w:t>.</w:t>
      </w:r>
    </w:p>
  </w:footnote>
  <w:footnote w:id="29">
    <w:p w:rsidR="006C1FC7" w:rsidRPr="00447A21" w:rsidRDefault="006C1FC7" w:rsidP="004B6617">
      <w:pPr>
        <w:pStyle w:val="Textonotapie"/>
        <w:jc w:val="both"/>
        <w:rPr>
          <w:rFonts w:ascii="Times New Roman" w:hAnsi="Times New Roman" w:cs="Times New Roman"/>
          <w:sz w:val="18"/>
          <w:szCs w:val="18"/>
          <w:lang w:val="es-MX"/>
        </w:rPr>
      </w:pPr>
      <w:r w:rsidRPr="00447A21">
        <w:rPr>
          <w:rStyle w:val="Refdenotaalpie"/>
          <w:rFonts w:ascii="Times New Roman" w:hAnsi="Times New Roman" w:cs="Times New Roman"/>
          <w:sz w:val="18"/>
          <w:szCs w:val="18"/>
        </w:rPr>
        <w:footnoteRef/>
      </w:r>
      <w:r w:rsidRPr="00447A21">
        <w:rPr>
          <w:rFonts w:ascii="Times New Roman" w:hAnsi="Times New Roman" w:cs="Times New Roman"/>
          <w:sz w:val="18"/>
          <w:szCs w:val="18"/>
          <w:lang w:val="es-MX"/>
        </w:rPr>
        <w:t xml:space="preserve"> </w:t>
      </w:r>
      <w:r w:rsidR="008A3186" w:rsidRPr="00447A21">
        <w:rPr>
          <w:rFonts w:ascii="Times New Roman" w:hAnsi="Times New Roman" w:cs="Times New Roman"/>
          <w:i/>
          <w:sz w:val="18"/>
          <w:szCs w:val="18"/>
          <w:lang w:val="es-MX"/>
        </w:rPr>
        <w:t>Cfr.</w:t>
      </w:r>
      <w:r w:rsidR="008A3186" w:rsidRPr="00447A21">
        <w:rPr>
          <w:rFonts w:ascii="Times New Roman" w:hAnsi="Times New Roman" w:cs="Times New Roman"/>
          <w:sz w:val="18"/>
          <w:szCs w:val="18"/>
          <w:lang w:val="es-MX"/>
        </w:rPr>
        <w:t xml:space="preserve"> Garzón Juan Carlos y Pol, Luciana. El Elefante en la habitación: drogas y derechos humanos en América Latina. </w:t>
      </w:r>
      <w:r w:rsidR="008A3186" w:rsidRPr="00447A21">
        <w:rPr>
          <w:rFonts w:ascii="Times New Roman" w:hAnsi="Times New Roman" w:cs="Times New Roman"/>
          <w:sz w:val="18"/>
          <w:szCs w:val="18"/>
        </w:rPr>
        <w:t xml:space="preserve">Revista Sur, v.12, N. 21, ago. 2015. Conectas. Disponible en: </w:t>
      </w:r>
      <w:hyperlink r:id="rId19" w:history="1">
        <w:r w:rsidR="008A3186" w:rsidRPr="00447A21">
          <w:rPr>
            <w:rStyle w:val="Hipervnculo"/>
            <w:rFonts w:ascii="Times New Roman" w:hAnsi="Times New Roman" w:cs="Times New Roman"/>
            <w:sz w:val="18"/>
            <w:szCs w:val="18"/>
          </w:rPr>
          <w:t>http://www.pensamientopenal.com.ar/system/files/2018/03/doctrina46347.pdf</w:t>
        </w:r>
      </w:hyperlink>
      <w:r w:rsidR="008A3186" w:rsidRPr="00447A21">
        <w:rPr>
          <w:rFonts w:ascii="Times New Roman" w:hAnsi="Times New Roman" w:cs="Times New Roman"/>
          <w:sz w:val="18"/>
          <w:szCs w:val="18"/>
        </w:rPr>
        <w:t xml:space="preserve"> </w:t>
      </w:r>
    </w:p>
  </w:footnote>
  <w:footnote w:id="30">
    <w:p w:rsidR="006C1FC7" w:rsidRPr="00447A21" w:rsidRDefault="006C1FC7" w:rsidP="004B6617">
      <w:pPr>
        <w:pStyle w:val="Textonotapie"/>
        <w:jc w:val="both"/>
        <w:rPr>
          <w:rFonts w:ascii="Times New Roman" w:hAnsi="Times New Roman" w:cs="Times New Roman"/>
          <w:sz w:val="18"/>
          <w:szCs w:val="18"/>
          <w:lang w:val="en-US"/>
        </w:rPr>
      </w:pPr>
      <w:r w:rsidRPr="00447A21">
        <w:rPr>
          <w:rStyle w:val="Refdenotaalpie"/>
          <w:rFonts w:ascii="Times New Roman" w:hAnsi="Times New Roman" w:cs="Times New Roman"/>
          <w:sz w:val="18"/>
          <w:szCs w:val="18"/>
        </w:rPr>
        <w:footnoteRef/>
      </w:r>
      <w:r w:rsidRPr="00447A21">
        <w:rPr>
          <w:rFonts w:ascii="Times New Roman" w:hAnsi="Times New Roman" w:cs="Times New Roman"/>
          <w:sz w:val="18"/>
          <w:szCs w:val="18"/>
          <w:lang w:val="en-US"/>
        </w:rPr>
        <w:t xml:space="preserve"> United Nations, Commission on Narcotic Drugs (CND), Special session of the General Assembly on the world drug problem to be held in 2016, E/CN.7/2015/L.11, Mar. 17, 2015. http://www.unodc.org/documents/commissions/CND/CND_Sessions/CND_58/draft_resolutions/ECN72015_L11_17_March_420pm_clean.pdf</w:t>
      </w:r>
    </w:p>
  </w:footnote>
  <w:footnote w:id="31">
    <w:p w:rsidR="0020628C" w:rsidRPr="00447A21" w:rsidRDefault="006C1FC7" w:rsidP="004B6617">
      <w:pPr>
        <w:pStyle w:val="Textonotapie"/>
        <w:jc w:val="both"/>
        <w:rPr>
          <w:rFonts w:ascii="Times New Roman" w:hAnsi="Times New Roman" w:cs="Times New Roman"/>
          <w:sz w:val="18"/>
          <w:szCs w:val="18"/>
          <w:lang w:val="en-US"/>
        </w:rPr>
      </w:pPr>
      <w:r w:rsidRPr="00447A21">
        <w:rPr>
          <w:rStyle w:val="Refdenotaalpie"/>
          <w:rFonts w:ascii="Times New Roman" w:hAnsi="Times New Roman" w:cs="Times New Roman"/>
          <w:sz w:val="18"/>
          <w:szCs w:val="18"/>
        </w:rPr>
        <w:footnoteRef/>
      </w:r>
      <w:r w:rsidRPr="00447A21">
        <w:rPr>
          <w:rFonts w:ascii="Times New Roman" w:hAnsi="Times New Roman" w:cs="Times New Roman"/>
          <w:sz w:val="18"/>
          <w:szCs w:val="18"/>
          <w:lang w:val="es-MX"/>
        </w:rPr>
        <w:t xml:space="preserve"> </w:t>
      </w:r>
      <w:r w:rsidR="0020628C" w:rsidRPr="00447A21">
        <w:rPr>
          <w:rFonts w:ascii="Times New Roman" w:hAnsi="Times New Roman" w:cs="Times New Roman"/>
          <w:sz w:val="18"/>
          <w:szCs w:val="18"/>
        </w:rPr>
        <w:t xml:space="preserve">Oficina del Alto Comisionado para los Derechos Humanos (2015). Estudio sobre las repercusiones del problema mundial de las drogas en el ejercicio de los derechos humanos, Informe del Alto Comisionado de las Naciones Unidas para los Derechos Humanos, A/HRC/30/65. </w:t>
      </w:r>
      <w:r w:rsidR="0020628C" w:rsidRPr="00447A21">
        <w:rPr>
          <w:rFonts w:ascii="Times New Roman" w:hAnsi="Times New Roman" w:cs="Times New Roman"/>
          <w:sz w:val="18"/>
          <w:szCs w:val="18"/>
          <w:lang w:val="en-US"/>
        </w:rPr>
        <w:t xml:space="preserve">Disponible en: http://www.ohchr.org/EN/HRBodies/ HRC/RegularSessions/Session30/Pages/ListReports.aspx  </w:t>
      </w:r>
    </w:p>
  </w:footnote>
  <w:footnote w:id="32">
    <w:p w:rsidR="006C1FC7" w:rsidRPr="00447A21" w:rsidRDefault="006C1FC7" w:rsidP="004B6617">
      <w:pPr>
        <w:pStyle w:val="Textonotapie"/>
        <w:jc w:val="both"/>
        <w:rPr>
          <w:rFonts w:ascii="Times New Roman" w:hAnsi="Times New Roman" w:cs="Times New Roman"/>
          <w:sz w:val="18"/>
          <w:szCs w:val="18"/>
          <w:lang w:val="es-MX"/>
        </w:rPr>
      </w:pPr>
      <w:r w:rsidRPr="00447A21">
        <w:rPr>
          <w:rStyle w:val="Refdenotaalpie"/>
          <w:rFonts w:ascii="Times New Roman" w:hAnsi="Times New Roman" w:cs="Times New Roman"/>
          <w:sz w:val="18"/>
          <w:szCs w:val="18"/>
        </w:rPr>
        <w:footnoteRef/>
      </w:r>
      <w:r w:rsidR="004B6617" w:rsidRPr="00447A21">
        <w:rPr>
          <w:rFonts w:ascii="Times New Roman" w:hAnsi="Times New Roman" w:cs="Times New Roman"/>
          <w:sz w:val="18"/>
          <w:szCs w:val="18"/>
          <w:lang w:val="es-MX"/>
        </w:rPr>
        <w:t xml:space="preserve"> </w:t>
      </w:r>
      <w:r w:rsidR="004B6617" w:rsidRPr="00447A21">
        <w:rPr>
          <w:rFonts w:ascii="Times New Roman" w:hAnsi="Times New Roman" w:cs="Times New Roman"/>
          <w:i/>
          <w:sz w:val="18"/>
          <w:szCs w:val="18"/>
          <w:lang w:val="es-MX"/>
        </w:rPr>
        <w:t>Cfr</w:t>
      </w:r>
      <w:r w:rsidR="004B6617" w:rsidRPr="00447A21">
        <w:rPr>
          <w:rFonts w:ascii="Times New Roman" w:hAnsi="Times New Roman" w:cs="Times New Roman"/>
          <w:sz w:val="18"/>
          <w:szCs w:val="18"/>
          <w:lang w:val="es-MX"/>
        </w:rPr>
        <w:t>. Uprimny Rodrigo.</w:t>
      </w:r>
      <w:r w:rsidRPr="00447A21">
        <w:rPr>
          <w:rFonts w:ascii="Times New Roman" w:hAnsi="Times New Roman" w:cs="Times New Roman"/>
          <w:sz w:val="18"/>
          <w:szCs w:val="18"/>
          <w:lang w:val="es-MX"/>
        </w:rPr>
        <w:t xml:space="preserve"> </w:t>
      </w:r>
      <w:r w:rsidR="004B6617" w:rsidRPr="00447A21">
        <w:rPr>
          <w:rFonts w:ascii="Times New Roman" w:hAnsi="Times New Roman" w:cs="Times New Roman"/>
          <w:sz w:val="18"/>
          <w:szCs w:val="18"/>
          <w:lang w:val="es-MX"/>
        </w:rPr>
        <w:t xml:space="preserve">Derechos humanos y derecho de las drogas. El Espectador, 14 de septiembre de 2013. Disponible en: </w:t>
      </w:r>
      <w:hyperlink r:id="rId20" w:history="1">
        <w:r w:rsidR="004B6617" w:rsidRPr="00447A21">
          <w:rPr>
            <w:rStyle w:val="Hipervnculo"/>
            <w:rFonts w:ascii="Times New Roman" w:hAnsi="Times New Roman" w:cs="Times New Roman"/>
            <w:sz w:val="18"/>
            <w:szCs w:val="18"/>
          </w:rPr>
          <w:t>https://www.elespectador.com/opinion/derechos-humanos-y-derecho-de-las-drogas-columna-446339</w:t>
        </w:r>
      </w:hyperlink>
      <w:r w:rsidR="004B6617" w:rsidRPr="00447A21">
        <w:rPr>
          <w:rFonts w:ascii="Times New Roman" w:hAnsi="Times New Roman" w:cs="Times New Roman"/>
          <w:sz w:val="18"/>
          <w:szCs w:val="18"/>
        </w:rPr>
        <w:t xml:space="preserve"> </w:t>
      </w:r>
    </w:p>
  </w:footnote>
  <w:footnote w:id="33">
    <w:p w:rsidR="004B6617" w:rsidRPr="00447A21" w:rsidRDefault="004B6617" w:rsidP="004B6617">
      <w:pPr>
        <w:pStyle w:val="Textonotapie"/>
        <w:jc w:val="both"/>
        <w:rPr>
          <w:rFonts w:ascii="Times New Roman" w:hAnsi="Times New Roman" w:cs="Times New Roman"/>
          <w:sz w:val="18"/>
          <w:szCs w:val="18"/>
          <w:lang w:val="es-MX"/>
        </w:rPr>
      </w:pPr>
      <w:r w:rsidRPr="00447A21">
        <w:rPr>
          <w:rStyle w:val="Refdenotaalpie"/>
          <w:rFonts w:ascii="Times New Roman" w:hAnsi="Times New Roman" w:cs="Times New Roman"/>
          <w:sz w:val="18"/>
          <w:szCs w:val="18"/>
        </w:rPr>
        <w:footnoteRef/>
      </w:r>
      <w:r w:rsidRPr="00447A21">
        <w:rPr>
          <w:rFonts w:ascii="Times New Roman" w:hAnsi="Times New Roman" w:cs="Times New Roman"/>
          <w:sz w:val="18"/>
          <w:szCs w:val="18"/>
        </w:rPr>
        <w:t xml:space="preserve"> </w:t>
      </w:r>
      <w:r w:rsidRPr="00447A21">
        <w:rPr>
          <w:rFonts w:ascii="Times New Roman" w:hAnsi="Times New Roman" w:cs="Times New Roman"/>
          <w:i/>
          <w:sz w:val="18"/>
          <w:szCs w:val="18"/>
        </w:rPr>
        <w:t>Cfr.</w:t>
      </w:r>
      <w:r w:rsidRPr="00447A21">
        <w:rPr>
          <w:rFonts w:ascii="Times New Roman" w:hAnsi="Times New Roman" w:cs="Times New Roman"/>
          <w:sz w:val="18"/>
          <w:szCs w:val="18"/>
        </w:rPr>
        <w:t xml:space="preserve"> </w:t>
      </w:r>
      <w:r w:rsidRPr="00447A21">
        <w:rPr>
          <w:rFonts w:ascii="Times New Roman" w:hAnsi="Times New Roman" w:cs="Times New Roman"/>
          <w:sz w:val="18"/>
          <w:szCs w:val="18"/>
          <w:lang w:val="es-MX"/>
        </w:rPr>
        <w:t xml:space="preserve">Derechos humanos y políticas de drogas. TNI, 18 de junio de 2018. Disponible en: </w:t>
      </w:r>
      <w:hyperlink r:id="rId21" w:history="1">
        <w:r w:rsidRPr="00447A21">
          <w:rPr>
            <w:rStyle w:val="Hipervnculo"/>
            <w:rFonts w:ascii="Times New Roman" w:hAnsi="Times New Roman" w:cs="Times New Roman"/>
            <w:sz w:val="18"/>
            <w:szCs w:val="18"/>
          </w:rPr>
          <w:t>https://www.tni.org/es/publicacion/derechos-humanos-y-politicas-de-drogas</w:t>
        </w:r>
      </w:hyperlink>
      <w:r w:rsidRPr="00447A21">
        <w:rPr>
          <w:rFonts w:ascii="Times New Roman" w:hAnsi="Times New Roman" w:cs="Times New Roman"/>
          <w:sz w:val="18"/>
          <w:szCs w:val="18"/>
        </w:rPr>
        <w:t xml:space="preserve"> </w:t>
      </w:r>
    </w:p>
    <w:p w:rsidR="004B6617" w:rsidRPr="00447A21" w:rsidRDefault="004B6617">
      <w:pPr>
        <w:pStyle w:val="Textonotapie"/>
        <w:rPr>
          <w:rFonts w:ascii="Times New Roman" w:hAnsi="Times New Roman" w:cs="Times New Roman"/>
          <w:sz w:val="18"/>
          <w:szCs w:val="18"/>
          <w:lang w:val="es-MX"/>
        </w:rPr>
      </w:pPr>
    </w:p>
  </w:footnote>
  <w:footnote w:id="34">
    <w:p w:rsidR="004C641E" w:rsidRPr="00F31721" w:rsidRDefault="004C641E" w:rsidP="00F31721">
      <w:pPr>
        <w:pStyle w:val="Textonotapie"/>
        <w:jc w:val="both"/>
        <w:rPr>
          <w:rFonts w:ascii="Times New Roman" w:hAnsi="Times New Roman" w:cs="Times New Roman"/>
          <w:sz w:val="18"/>
          <w:szCs w:val="18"/>
        </w:rPr>
      </w:pPr>
      <w:r w:rsidRPr="00F31721">
        <w:rPr>
          <w:rStyle w:val="Refdenotaalpie"/>
          <w:rFonts w:ascii="Times New Roman" w:hAnsi="Times New Roman" w:cs="Times New Roman"/>
          <w:sz w:val="18"/>
          <w:szCs w:val="18"/>
        </w:rPr>
        <w:footnoteRef/>
      </w:r>
      <w:r w:rsidRPr="00F31721">
        <w:rPr>
          <w:rFonts w:ascii="Times New Roman" w:hAnsi="Times New Roman" w:cs="Times New Roman"/>
          <w:sz w:val="18"/>
          <w:szCs w:val="18"/>
        </w:rPr>
        <w:t xml:space="preserve"> </w:t>
      </w:r>
      <w:r w:rsidR="00F31721" w:rsidRPr="00F31721">
        <w:rPr>
          <w:rFonts w:ascii="Times New Roman" w:hAnsi="Times New Roman" w:cs="Times New Roman"/>
          <w:color w:val="auto"/>
          <w:sz w:val="18"/>
          <w:szCs w:val="18"/>
        </w:rPr>
        <w:t xml:space="preserve">Programa de Naciones Unidas para el Desarrollo (PNUD), Centro Internacional de Derechos Humanos y Política de Drogas de la Universidad de Essex: “Directrices internacionales sobre derechos humanos y política de drogas”. Marzo 2019. Disponible en: </w:t>
      </w:r>
      <w:hyperlink r:id="rId22" w:history="1">
        <w:r w:rsidR="00F31721" w:rsidRPr="00F31721">
          <w:rPr>
            <w:rStyle w:val="Hipervnculo"/>
            <w:rFonts w:ascii="Times New Roman" w:hAnsi="Times New Roman" w:cs="Times New Roman"/>
          </w:rPr>
          <w:t>https://www.undp.org/content/undp/es/home/librarypage/hiv-aids/international-guidelines-on-human-rights-and-drug-policy.html</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FC7" w:rsidRDefault="001B58FD" w:rsidP="00B5033F">
    <w:pPr>
      <w:pStyle w:val="Encabezado"/>
      <w:tabs>
        <w:tab w:val="clear" w:pos="8504"/>
        <w:tab w:val="right" w:pos="8478"/>
      </w:tabs>
      <w:jc w:val="center"/>
    </w:pPr>
    <w:r>
      <w:rPr>
        <w:noProof/>
        <w:lang w:val="es-MX" w:eastAsia="es-MX"/>
      </w:rPr>
      <w:drawing>
        <wp:anchor distT="0" distB="0" distL="114300" distR="114300" simplePos="0" relativeHeight="251658240" behindDoc="0" locked="0" layoutInCell="1" allowOverlap="1">
          <wp:simplePos x="0" y="0"/>
          <wp:positionH relativeFrom="margin">
            <wp:align>center</wp:align>
          </wp:positionH>
          <wp:positionV relativeFrom="paragraph">
            <wp:posOffset>-75565</wp:posOffset>
          </wp:positionV>
          <wp:extent cx="1219200" cy="715010"/>
          <wp:effectExtent l="0" t="0" r="0" b="889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 Logo verde.png"/>
                  <pic:cNvPicPr/>
                </pic:nvPicPr>
                <pic:blipFill rotWithShape="1">
                  <a:blip r:embed="rId1" cstate="print">
                    <a:extLst>
                      <a:ext uri="{28A0092B-C50C-407E-A947-70E740481C1C}">
                        <a14:useLocalDpi xmlns:a14="http://schemas.microsoft.com/office/drawing/2010/main" val="0"/>
                      </a:ext>
                    </a:extLst>
                  </a:blip>
                  <a:srcRect l="12519" t="19180" r="11635" b="12561"/>
                  <a:stretch/>
                </pic:blipFill>
                <pic:spPr bwMode="auto">
                  <a:xfrm>
                    <a:off x="0" y="0"/>
                    <a:ext cx="1219200" cy="7150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650D3"/>
    <w:multiLevelType w:val="hybridMultilevel"/>
    <w:tmpl w:val="61046B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1B40A8"/>
    <w:multiLevelType w:val="hybridMultilevel"/>
    <w:tmpl w:val="A5E274BC"/>
    <w:lvl w:ilvl="0" w:tplc="F43A156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293A2C"/>
    <w:multiLevelType w:val="hybridMultilevel"/>
    <w:tmpl w:val="61A2ED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E27C0C"/>
    <w:multiLevelType w:val="hybridMultilevel"/>
    <w:tmpl w:val="39469162"/>
    <w:lvl w:ilvl="0" w:tplc="EF8A242A">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2786070A"/>
    <w:multiLevelType w:val="hybridMultilevel"/>
    <w:tmpl w:val="04E063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C615275"/>
    <w:multiLevelType w:val="hybridMultilevel"/>
    <w:tmpl w:val="932441A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855642D"/>
    <w:multiLevelType w:val="hybridMultilevel"/>
    <w:tmpl w:val="2B167472"/>
    <w:lvl w:ilvl="0" w:tplc="CADA9644">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43BF320D"/>
    <w:multiLevelType w:val="hybridMultilevel"/>
    <w:tmpl w:val="CF8CD85A"/>
    <w:lvl w:ilvl="0" w:tplc="DE84E8D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5284ABC"/>
    <w:multiLevelType w:val="hybridMultilevel"/>
    <w:tmpl w:val="146E16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1863D10"/>
    <w:multiLevelType w:val="hybridMultilevel"/>
    <w:tmpl w:val="8C6CA2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87967A7"/>
    <w:multiLevelType w:val="hybridMultilevel"/>
    <w:tmpl w:val="DEE226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87F3FDA"/>
    <w:multiLevelType w:val="hybridMultilevel"/>
    <w:tmpl w:val="623C04E0"/>
    <w:lvl w:ilvl="0" w:tplc="4B542C64">
      <w:start w:val="1"/>
      <w:numFmt w:val="lowerLetter"/>
      <w:lvlText w:val="%1)"/>
      <w:lvlJc w:val="left"/>
      <w:pPr>
        <w:ind w:left="720" w:hanging="360"/>
      </w:pPr>
      <w:rPr>
        <w:rFonts w:ascii="Times New Roman" w:hAnsi="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97B7E62"/>
    <w:multiLevelType w:val="hybridMultilevel"/>
    <w:tmpl w:val="FF421CA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59C0564D"/>
    <w:multiLevelType w:val="hybridMultilevel"/>
    <w:tmpl w:val="3B66100E"/>
    <w:lvl w:ilvl="0" w:tplc="080A0001">
      <w:start w:val="1"/>
      <w:numFmt w:val="bullet"/>
      <w:lvlText w:val=""/>
      <w:lvlJc w:val="left"/>
      <w:pPr>
        <w:ind w:left="1498" w:hanging="360"/>
      </w:pPr>
      <w:rPr>
        <w:rFonts w:ascii="Symbol" w:hAnsi="Symbol" w:hint="default"/>
      </w:rPr>
    </w:lvl>
    <w:lvl w:ilvl="1" w:tplc="080A0003" w:tentative="1">
      <w:start w:val="1"/>
      <w:numFmt w:val="bullet"/>
      <w:lvlText w:val="o"/>
      <w:lvlJc w:val="left"/>
      <w:pPr>
        <w:ind w:left="2218" w:hanging="360"/>
      </w:pPr>
      <w:rPr>
        <w:rFonts w:ascii="Courier New" w:hAnsi="Courier New" w:cs="Courier New" w:hint="default"/>
      </w:rPr>
    </w:lvl>
    <w:lvl w:ilvl="2" w:tplc="080A0005" w:tentative="1">
      <w:start w:val="1"/>
      <w:numFmt w:val="bullet"/>
      <w:lvlText w:val=""/>
      <w:lvlJc w:val="left"/>
      <w:pPr>
        <w:ind w:left="2938" w:hanging="360"/>
      </w:pPr>
      <w:rPr>
        <w:rFonts w:ascii="Wingdings" w:hAnsi="Wingdings" w:hint="default"/>
      </w:rPr>
    </w:lvl>
    <w:lvl w:ilvl="3" w:tplc="080A0001" w:tentative="1">
      <w:start w:val="1"/>
      <w:numFmt w:val="bullet"/>
      <w:lvlText w:val=""/>
      <w:lvlJc w:val="left"/>
      <w:pPr>
        <w:ind w:left="3658" w:hanging="360"/>
      </w:pPr>
      <w:rPr>
        <w:rFonts w:ascii="Symbol" w:hAnsi="Symbol" w:hint="default"/>
      </w:rPr>
    </w:lvl>
    <w:lvl w:ilvl="4" w:tplc="080A0003" w:tentative="1">
      <w:start w:val="1"/>
      <w:numFmt w:val="bullet"/>
      <w:lvlText w:val="o"/>
      <w:lvlJc w:val="left"/>
      <w:pPr>
        <w:ind w:left="4378" w:hanging="360"/>
      </w:pPr>
      <w:rPr>
        <w:rFonts w:ascii="Courier New" w:hAnsi="Courier New" w:cs="Courier New" w:hint="default"/>
      </w:rPr>
    </w:lvl>
    <w:lvl w:ilvl="5" w:tplc="080A0005" w:tentative="1">
      <w:start w:val="1"/>
      <w:numFmt w:val="bullet"/>
      <w:lvlText w:val=""/>
      <w:lvlJc w:val="left"/>
      <w:pPr>
        <w:ind w:left="5098" w:hanging="360"/>
      </w:pPr>
      <w:rPr>
        <w:rFonts w:ascii="Wingdings" w:hAnsi="Wingdings" w:hint="default"/>
      </w:rPr>
    </w:lvl>
    <w:lvl w:ilvl="6" w:tplc="080A0001" w:tentative="1">
      <w:start w:val="1"/>
      <w:numFmt w:val="bullet"/>
      <w:lvlText w:val=""/>
      <w:lvlJc w:val="left"/>
      <w:pPr>
        <w:ind w:left="5818" w:hanging="360"/>
      </w:pPr>
      <w:rPr>
        <w:rFonts w:ascii="Symbol" w:hAnsi="Symbol" w:hint="default"/>
      </w:rPr>
    </w:lvl>
    <w:lvl w:ilvl="7" w:tplc="080A0003" w:tentative="1">
      <w:start w:val="1"/>
      <w:numFmt w:val="bullet"/>
      <w:lvlText w:val="o"/>
      <w:lvlJc w:val="left"/>
      <w:pPr>
        <w:ind w:left="6538" w:hanging="360"/>
      </w:pPr>
      <w:rPr>
        <w:rFonts w:ascii="Courier New" w:hAnsi="Courier New" w:cs="Courier New" w:hint="default"/>
      </w:rPr>
    </w:lvl>
    <w:lvl w:ilvl="8" w:tplc="080A0005" w:tentative="1">
      <w:start w:val="1"/>
      <w:numFmt w:val="bullet"/>
      <w:lvlText w:val=""/>
      <w:lvlJc w:val="left"/>
      <w:pPr>
        <w:ind w:left="7258" w:hanging="360"/>
      </w:pPr>
      <w:rPr>
        <w:rFonts w:ascii="Wingdings" w:hAnsi="Wingdings" w:hint="default"/>
      </w:rPr>
    </w:lvl>
  </w:abstractNum>
  <w:abstractNum w:abstractNumId="14" w15:restartNumberingAfterBreak="0">
    <w:nsid w:val="5AF82CCA"/>
    <w:multiLevelType w:val="multilevel"/>
    <w:tmpl w:val="E0C2023A"/>
    <w:lvl w:ilvl="0">
      <w:start w:val="13"/>
      <w:numFmt w:val="bullet"/>
      <w:lvlText w:val="-"/>
      <w:lvlJc w:val="left"/>
      <w:pPr>
        <w:ind w:left="360" w:hanging="360"/>
      </w:pPr>
      <w:rPr>
        <w:rFonts w:ascii="Corbel" w:eastAsia="Corbel" w:hAnsi="Corbel" w:cs="Corbel"/>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5" w15:restartNumberingAfterBreak="0">
    <w:nsid w:val="6C106345"/>
    <w:multiLevelType w:val="hybridMultilevel"/>
    <w:tmpl w:val="7518A03A"/>
    <w:lvl w:ilvl="0" w:tplc="368AA7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0720E5A"/>
    <w:multiLevelType w:val="hybridMultilevel"/>
    <w:tmpl w:val="AEE86E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3"/>
  </w:num>
  <w:num w:numId="3">
    <w:abstractNumId w:val="5"/>
  </w:num>
  <w:num w:numId="4">
    <w:abstractNumId w:val="14"/>
  </w:num>
  <w:num w:numId="5">
    <w:abstractNumId w:val="6"/>
  </w:num>
  <w:num w:numId="6">
    <w:abstractNumId w:val="0"/>
  </w:num>
  <w:num w:numId="7">
    <w:abstractNumId w:val="3"/>
    <w:lvlOverride w:ilvl="0">
      <w:startOverride w:val="1"/>
    </w:lvlOverride>
  </w:num>
  <w:num w:numId="8">
    <w:abstractNumId w:val="2"/>
  </w:num>
  <w:num w:numId="9">
    <w:abstractNumId w:val="9"/>
  </w:num>
  <w:num w:numId="10">
    <w:abstractNumId w:val="8"/>
  </w:num>
  <w:num w:numId="11">
    <w:abstractNumId w:val="3"/>
    <w:lvlOverride w:ilvl="0">
      <w:startOverride w:val="1"/>
    </w:lvlOverride>
  </w:num>
  <w:num w:numId="12">
    <w:abstractNumId w:val="13"/>
  </w:num>
  <w:num w:numId="13">
    <w:abstractNumId w:val="16"/>
  </w:num>
  <w:num w:numId="14">
    <w:abstractNumId w:val="15"/>
  </w:num>
  <w:num w:numId="15">
    <w:abstractNumId w:val="4"/>
  </w:num>
  <w:num w:numId="16">
    <w:abstractNumId w:val="10"/>
  </w:num>
  <w:num w:numId="17">
    <w:abstractNumId w:val="11"/>
  </w:num>
  <w:num w:numId="18">
    <w:abstractNumId w:val="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961"/>
    <w:rsid w:val="00005E79"/>
    <w:rsid w:val="00033904"/>
    <w:rsid w:val="00033C24"/>
    <w:rsid w:val="00034403"/>
    <w:rsid w:val="00034B32"/>
    <w:rsid w:val="00037AC4"/>
    <w:rsid w:val="000409F5"/>
    <w:rsid w:val="00042EE4"/>
    <w:rsid w:val="00043AC5"/>
    <w:rsid w:val="00056585"/>
    <w:rsid w:val="00073DAF"/>
    <w:rsid w:val="00096CBA"/>
    <w:rsid w:val="000B6048"/>
    <w:rsid w:val="000E21D3"/>
    <w:rsid w:val="000E624C"/>
    <w:rsid w:val="00110AE2"/>
    <w:rsid w:val="001141FA"/>
    <w:rsid w:val="00121178"/>
    <w:rsid w:val="0012525C"/>
    <w:rsid w:val="00131307"/>
    <w:rsid w:val="00146862"/>
    <w:rsid w:val="00155B8C"/>
    <w:rsid w:val="00157130"/>
    <w:rsid w:val="00171D04"/>
    <w:rsid w:val="00183573"/>
    <w:rsid w:val="00194AE9"/>
    <w:rsid w:val="001A7F42"/>
    <w:rsid w:val="001B29BF"/>
    <w:rsid w:val="001B58FD"/>
    <w:rsid w:val="001C056A"/>
    <w:rsid w:val="001C23D5"/>
    <w:rsid w:val="001D3667"/>
    <w:rsid w:val="001D6625"/>
    <w:rsid w:val="001D68AB"/>
    <w:rsid w:val="001E083C"/>
    <w:rsid w:val="001E336A"/>
    <w:rsid w:val="001E4A13"/>
    <w:rsid w:val="001E4FFA"/>
    <w:rsid w:val="001F6C87"/>
    <w:rsid w:val="001F6ED9"/>
    <w:rsid w:val="0020628C"/>
    <w:rsid w:val="00225C78"/>
    <w:rsid w:val="00237B7F"/>
    <w:rsid w:val="00255B86"/>
    <w:rsid w:val="00266A1A"/>
    <w:rsid w:val="002A36AB"/>
    <w:rsid w:val="002B01BA"/>
    <w:rsid w:val="002B7727"/>
    <w:rsid w:val="002C2B5D"/>
    <w:rsid w:val="002D3311"/>
    <w:rsid w:val="002D44A4"/>
    <w:rsid w:val="002D7571"/>
    <w:rsid w:val="002E4BF8"/>
    <w:rsid w:val="002F326A"/>
    <w:rsid w:val="0030775C"/>
    <w:rsid w:val="003312E5"/>
    <w:rsid w:val="00333CBA"/>
    <w:rsid w:val="00341984"/>
    <w:rsid w:val="00357D04"/>
    <w:rsid w:val="00370B9A"/>
    <w:rsid w:val="003A563A"/>
    <w:rsid w:val="003B4833"/>
    <w:rsid w:val="003B4CC2"/>
    <w:rsid w:val="003D64E3"/>
    <w:rsid w:val="003F28F5"/>
    <w:rsid w:val="00406EEC"/>
    <w:rsid w:val="0041387D"/>
    <w:rsid w:val="004214AA"/>
    <w:rsid w:val="00424692"/>
    <w:rsid w:val="00447300"/>
    <w:rsid w:val="00447A21"/>
    <w:rsid w:val="004519C5"/>
    <w:rsid w:val="004646F2"/>
    <w:rsid w:val="0047566D"/>
    <w:rsid w:val="00477163"/>
    <w:rsid w:val="00482276"/>
    <w:rsid w:val="00494459"/>
    <w:rsid w:val="00496B9A"/>
    <w:rsid w:val="00496CC7"/>
    <w:rsid w:val="004A498D"/>
    <w:rsid w:val="004B6617"/>
    <w:rsid w:val="004B6A16"/>
    <w:rsid w:val="004C641E"/>
    <w:rsid w:val="004E34C1"/>
    <w:rsid w:val="004F16D9"/>
    <w:rsid w:val="00547FCA"/>
    <w:rsid w:val="005504B6"/>
    <w:rsid w:val="005504BA"/>
    <w:rsid w:val="00566EC9"/>
    <w:rsid w:val="00575AF2"/>
    <w:rsid w:val="00575D98"/>
    <w:rsid w:val="00585E9F"/>
    <w:rsid w:val="0059111C"/>
    <w:rsid w:val="00594774"/>
    <w:rsid w:val="005A1122"/>
    <w:rsid w:val="005A4855"/>
    <w:rsid w:val="005B2965"/>
    <w:rsid w:val="005B760F"/>
    <w:rsid w:val="005C105B"/>
    <w:rsid w:val="005F12D5"/>
    <w:rsid w:val="0060428C"/>
    <w:rsid w:val="006053D1"/>
    <w:rsid w:val="00611C01"/>
    <w:rsid w:val="00621ED8"/>
    <w:rsid w:val="0062417E"/>
    <w:rsid w:val="00624DDE"/>
    <w:rsid w:val="00624E13"/>
    <w:rsid w:val="00631741"/>
    <w:rsid w:val="006600E2"/>
    <w:rsid w:val="00674720"/>
    <w:rsid w:val="00674CCE"/>
    <w:rsid w:val="00676961"/>
    <w:rsid w:val="00681E74"/>
    <w:rsid w:val="00683DEC"/>
    <w:rsid w:val="00695804"/>
    <w:rsid w:val="006A0B3F"/>
    <w:rsid w:val="006C1FC7"/>
    <w:rsid w:val="006E6E64"/>
    <w:rsid w:val="006F519B"/>
    <w:rsid w:val="0070716A"/>
    <w:rsid w:val="00723D25"/>
    <w:rsid w:val="00747148"/>
    <w:rsid w:val="00771AB8"/>
    <w:rsid w:val="00773CEA"/>
    <w:rsid w:val="00785750"/>
    <w:rsid w:val="0078793A"/>
    <w:rsid w:val="00791F7E"/>
    <w:rsid w:val="007949BE"/>
    <w:rsid w:val="007C22CF"/>
    <w:rsid w:val="007D4167"/>
    <w:rsid w:val="007E2826"/>
    <w:rsid w:val="007F2FF7"/>
    <w:rsid w:val="00803E5C"/>
    <w:rsid w:val="00842B7D"/>
    <w:rsid w:val="00845B50"/>
    <w:rsid w:val="00846A70"/>
    <w:rsid w:val="0085291F"/>
    <w:rsid w:val="00856766"/>
    <w:rsid w:val="00885BAB"/>
    <w:rsid w:val="008A16C4"/>
    <w:rsid w:val="008A3186"/>
    <w:rsid w:val="008A6303"/>
    <w:rsid w:val="008B52D4"/>
    <w:rsid w:val="008C3106"/>
    <w:rsid w:val="008D2BAF"/>
    <w:rsid w:val="008E4F1D"/>
    <w:rsid w:val="008E6673"/>
    <w:rsid w:val="008F1221"/>
    <w:rsid w:val="008F50B9"/>
    <w:rsid w:val="008F75A7"/>
    <w:rsid w:val="008F768F"/>
    <w:rsid w:val="0090629B"/>
    <w:rsid w:val="00927F91"/>
    <w:rsid w:val="00933945"/>
    <w:rsid w:val="0093753D"/>
    <w:rsid w:val="0094478E"/>
    <w:rsid w:val="00957897"/>
    <w:rsid w:val="00961D36"/>
    <w:rsid w:val="00974659"/>
    <w:rsid w:val="00980933"/>
    <w:rsid w:val="0098652A"/>
    <w:rsid w:val="009911D2"/>
    <w:rsid w:val="00992BCA"/>
    <w:rsid w:val="009D7FA4"/>
    <w:rsid w:val="00A017B6"/>
    <w:rsid w:val="00A12F32"/>
    <w:rsid w:val="00A13DF4"/>
    <w:rsid w:val="00A219DC"/>
    <w:rsid w:val="00A34F61"/>
    <w:rsid w:val="00A438EB"/>
    <w:rsid w:val="00A468C6"/>
    <w:rsid w:val="00A52A7E"/>
    <w:rsid w:val="00A52B55"/>
    <w:rsid w:val="00A5440F"/>
    <w:rsid w:val="00A54CD5"/>
    <w:rsid w:val="00A87139"/>
    <w:rsid w:val="00AB54D9"/>
    <w:rsid w:val="00AC4552"/>
    <w:rsid w:val="00AC55D0"/>
    <w:rsid w:val="00AC5CD6"/>
    <w:rsid w:val="00AC69F2"/>
    <w:rsid w:val="00B04E25"/>
    <w:rsid w:val="00B11487"/>
    <w:rsid w:val="00B430CA"/>
    <w:rsid w:val="00B5033F"/>
    <w:rsid w:val="00B63AA3"/>
    <w:rsid w:val="00B67C4B"/>
    <w:rsid w:val="00B94A5E"/>
    <w:rsid w:val="00BD34ED"/>
    <w:rsid w:val="00BE3AC0"/>
    <w:rsid w:val="00BE5EEE"/>
    <w:rsid w:val="00C21CDB"/>
    <w:rsid w:val="00C22FBE"/>
    <w:rsid w:val="00C505BC"/>
    <w:rsid w:val="00C56935"/>
    <w:rsid w:val="00C61DF9"/>
    <w:rsid w:val="00C74E53"/>
    <w:rsid w:val="00C90EF6"/>
    <w:rsid w:val="00C946C6"/>
    <w:rsid w:val="00CC006D"/>
    <w:rsid w:val="00CC0D15"/>
    <w:rsid w:val="00CC4AF8"/>
    <w:rsid w:val="00CC5913"/>
    <w:rsid w:val="00CC5A8D"/>
    <w:rsid w:val="00CD32AB"/>
    <w:rsid w:val="00CE70D0"/>
    <w:rsid w:val="00CF5BAB"/>
    <w:rsid w:val="00D05926"/>
    <w:rsid w:val="00D05ACB"/>
    <w:rsid w:val="00D06045"/>
    <w:rsid w:val="00D23A80"/>
    <w:rsid w:val="00D35BB3"/>
    <w:rsid w:val="00D42560"/>
    <w:rsid w:val="00D660E9"/>
    <w:rsid w:val="00D66EF3"/>
    <w:rsid w:val="00D80A88"/>
    <w:rsid w:val="00D8572C"/>
    <w:rsid w:val="00DA4287"/>
    <w:rsid w:val="00DB58BB"/>
    <w:rsid w:val="00DB7426"/>
    <w:rsid w:val="00DC4093"/>
    <w:rsid w:val="00DF2559"/>
    <w:rsid w:val="00E030BB"/>
    <w:rsid w:val="00E041FC"/>
    <w:rsid w:val="00E123BB"/>
    <w:rsid w:val="00E17228"/>
    <w:rsid w:val="00E260CC"/>
    <w:rsid w:val="00E630F6"/>
    <w:rsid w:val="00E64609"/>
    <w:rsid w:val="00E77A2B"/>
    <w:rsid w:val="00E77A43"/>
    <w:rsid w:val="00E87125"/>
    <w:rsid w:val="00E9649A"/>
    <w:rsid w:val="00EA0B87"/>
    <w:rsid w:val="00EA2829"/>
    <w:rsid w:val="00EA3F95"/>
    <w:rsid w:val="00EA7F99"/>
    <w:rsid w:val="00EA7FB9"/>
    <w:rsid w:val="00EE551E"/>
    <w:rsid w:val="00EE65D0"/>
    <w:rsid w:val="00EF0DCC"/>
    <w:rsid w:val="00F052F2"/>
    <w:rsid w:val="00F31721"/>
    <w:rsid w:val="00F326B9"/>
    <w:rsid w:val="00F36620"/>
    <w:rsid w:val="00F36C48"/>
    <w:rsid w:val="00F41067"/>
    <w:rsid w:val="00F42A97"/>
    <w:rsid w:val="00F4313D"/>
    <w:rsid w:val="00F43A9F"/>
    <w:rsid w:val="00F70ADF"/>
    <w:rsid w:val="00F93C6C"/>
    <w:rsid w:val="00F96E75"/>
    <w:rsid w:val="00FE0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C4FBE"/>
  <w15:chartTrackingRefBased/>
  <w15:docId w15:val="{E7591947-8623-4E65-80BC-0F5718682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76961"/>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s-ES_tradnl" w:eastAsia="es-ES"/>
    </w:rPr>
  </w:style>
  <w:style w:type="paragraph" w:styleId="Ttulo1">
    <w:name w:val="heading 1"/>
    <w:basedOn w:val="Normal"/>
    <w:next w:val="Normal"/>
    <w:link w:val="Ttulo1Car"/>
    <w:uiPriority w:val="9"/>
    <w:qFormat/>
    <w:rsid w:val="000565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link w:val="Ttulo4Car"/>
    <w:uiPriority w:val="9"/>
    <w:qFormat/>
    <w:rsid w:val="001E4A1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3"/>
    </w:pPr>
    <w:rPr>
      <w:rFonts w:ascii="Times New Roman" w:eastAsia="Times New Roman" w:hAnsi="Times New Roman" w:cs="Times New Roman"/>
      <w:b/>
      <w:bCs/>
      <w:color w:val="auto"/>
      <w:sz w:val="24"/>
      <w:szCs w:val="24"/>
      <w:bdr w:val="none" w:sz="0" w:space="0" w:color="auto"/>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76961"/>
    <w:rPr>
      <w:u w:val="single"/>
    </w:rPr>
  </w:style>
  <w:style w:type="paragraph" w:styleId="Encabezado">
    <w:name w:val="header"/>
    <w:link w:val="EncabezadoCar"/>
    <w:rsid w:val="00676961"/>
    <w:pPr>
      <w:pBdr>
        <w:top w:val="nil"/>
        <w:left w:val="nil"/>
        <w:bottom w:val="nil"/>
        <w:right w:val="nil"/>
        <w:between w:val="nil"/>
        <w:bar w:val="nil"/>
      </w:pBdr>
      <w:tabs>
        <w:tab w:val="center" w:pos="4252"/>
        <w:tab w:val="right" w:pos="8504"/>
      </w:tabs>
      <w:spacing w:after="0" w:line="240" w:lineRule="auto"/>
    </w:pPr>
    <w:rPr>
      <w:rFonts w:ascii="Calibri" w:eastAsia="Calibri" w:hAnsi="Calibri" w:cs="Calibri"/>
      <w:color w:val="000000"/>
      <w:u w:color="000000"/>
      <w:bdr w:val="nil"/>
      <w:lang w:val="es-ES_tradnl" w:eastAsia="es-ES"/>
    </w:rPr>
  </w:style>
  <w:style w:type="character" w:customStyle="1" w:styleId="EncabezadoCar">
    <w:name w:val="Encabezado Car"/>
    <w:basedOn w:val="Fuentedeprrafopredeter"/>
    <w:link w:val="Encabezado"/>
    <w:rsid w:val="00676961"/>
    <w:rPr>
      <w:rFonts w:ascii="Calibri" w:eastAsia="Calibri" w:hAnsi="Calibri" w:cs="Calibri"/>
      <w:color w:val="000000"/>
      <w:u w:color="000000"/>
      <w:bdr w:val="nil"/>
      <w:lang w:val="es-ES_tradnl" w:eastAsia="es-ES"/>
    </w:rPr>
  </w:style>
  <w:style w:type="paragraph" w:styleId="Textonotapie">
    <w:name w:val="footnote text"/>
    <w:link w:val="TextonotapieCar"/>
    <w:uiPriority w:val="99"/>
    <w:rsid w:val="00676961"/>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val="es-CO" w:eastAsia="es-ES"/>
    </w:rPr>
  </w:style>
  <w:style w:type="character" w:customStyle="1" w:styleId="TextonotapieCar">
    <w:name w:val="Texto nota pie Car"/>
    <w:basedOn w:val="Fuentedeprrafopredeter"/>
    <w:link w:val="Textonotapie"/>
    <w:uiPriority w:val="99"/>
    <w:rsid w:val="00676961"/>
    <w:rPr>
      <w:rFonts w:ascii="Calibri" w:eastAsia="Calibri" w:hAnsi="Calibri" w:cs="Calibri"/>
      <w:color w:val="000000"/>
      <w:sz w:val="20"/>
      <w:szCs w:val="20"/>
      <w:u w:color="000000"/>
      <w:bdr w:val="nil"/>
      <w:lang w:val="es-CO" w:eastAsia="es-ES"/>
    </w:rPr>
  </w:style>
  <w:style w:type="character" w:styleId="Refdenotaalpie">
    <w:name w:val="footnote reference"/>
    <w:uiPriority w:val="99"/>
    <w:unhideWhenUsed/>
    <w:rsid w:val="00676961"/>
    <w:rPr>
      <w:vertAlign w:val="superscript"/>
    </w:rPr>
  </w:style>
  <w:style w:type="paragraph" w:styleId="NormalWeb">
    <w:name w:val="Normal (Web)"/>
    <w:basedOn w:val="Normal"/>
    <w:uiPriority w:val="99"/>
    <w:unhideWhenUsed/>
    <w:rsid w:val="0067696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w:eastAsia="MS Mincho" w:hAnsi="Times" w:cs="Times New Roman"/>
      <w:color w:val="auto"/>
      <w:sz w:val="20"/>
      <w:szCs w:val="20"/>
      <w:bdr w:val="none" w:sz="0" w:space="0" w:color="auto"/>
      <w:lang w:val="es-CO"/>
    </w:rPr>
  </w:style>
  <w:style w:type="paragraph" w:customStyle="1" w:styleId="Elementa1">
    <w:name w:val="Elementa 1"/>
    <w:basedOn w:val="Normal"/>
    <w:qFormat/>
    <w:rsid w:val="0067696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pPr>
    <w:rPr>
      <w:rFonts w:ascii="Corbel" w:eastAsia="MS Mincho" w:hAnsi="Corbel" w:cs="Times New Roman"/>
      <w:b/>
      <w:color w:val="1BE3B4"/>
      <w:sz w:val="52"/>
      <w:szCs w:val="20"/>
      <w:bdr w:val="none" w:sz="0" w:space="0" w:color="auto"/>
      <w:lang w:val="es-ES"/>
    </w:rPr>
  </w:style>
  <w:style w:type="paragraph" w:customStyle="1" w:styleId="Elementa2">
    <w:name w:val="Elementa 2"/>
    <w:basedOn w:val="Normal"/>
    <w:qFormat/>
    <w:rsid w:val="0067696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pPr>
    <w:rPr>
      <w:rFonts w:ascii="Corbel" w:eastAsia="MS Mincho" w:hAnsi="Corbel" w:cs="Times New Roman"/>
      <w:b/>
      <w:color w:val="002060"/>
      <w:sz w:val="24"/>
      <w:szCs w:val="20"/>
      <w:bdr w:val="none" w:sz="0" w:space="0" w:color="auto"/>
      <w:lang w:val="es-ES"/>
    </w:rPr>
  </w:style>
  <w:style w:type="paragraph" w:customStyle="1" w:styleId="Elementa3">
    <w:name w:val="Elementa 3"/>
    <w:basedOn w:val="Normal"/>
    <w:autoRedefine/>
    <w:qFormat/>
    <w:rsid w:val="00C90EF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MS Mincho" w:hAnsi="Times New Roman" w:cs="Times New Roman"/>
      <w:color w:val="00CC99"/>
      <w:sz w:val="24"/>
      <w:szCs w:val="24"/>
      <w:bdr w:val="none" w:sz="0" w:space="0" w:color="auto"/>
      <w:lang w:val="es-ES"/>
    </w:rPr>
  </w:style>
  <w:style w:type="paragraph" w:styleId="Piedepgina">
    <w:name w:val="footer"/>
    <w:basedOn w:val="Normal"/>
    <w:link w:val="PiedepginaCar"/>
    <w:uiPriority w:val="99"/>
    <w:unhideWhenUsed/>
    <w:rsid w:val="00676961"/>
    <w:pPr>
      <w:tabs>
        <w:tab w:val="center" w:pos="4252"/>
        <w:tab w:val="right" w:pos="8504"/>
      </w:tabs>
    </w:pPr>
  </w:style>
  <w:style w:type="character" w:customStyle="1" w:styleId="PiedepginaCar">
    <w:name w:val="Pie de página Car"/>
    <w:basedOn w:val="Fuentedeprrafopredeter"/>
    <w:link w:val="Piedepgina"/>
    <w:uiPriority w:val="99"/>
    <w:rsid w:val="00676961"/>
    <w:rPr>
      <w:rFonts w:ascii="Calibri" w:eastAsia="Calibri" w:hAnsi="Calibri" w:cs="Calibri"/>
      <w:color w:val="000000"/>
      <w:u w:color="000000"/>
      <w:bdr w:val="nil"/>
      <w:lang w:val="es-ES_tradnl" w:eastAsia="es-ES"/>
    </w:rPr>
  </w:style>
  <w:style w:type="paragraph" w:customStyle="1" w:styleId="p1">
    <w:name w:val="p1"/>
    <w:basedOn w:val="Normal"/>
    <w:rsid w:val="0067696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Helvetica" w:hAnsi="Helvetica" w:cs="Times New Roman"/>
      <w:color w:val="auto"/>
      <w:sz w:val="17"/>
      <w:szCs w:val="17"/>
      <w:bdr w:val="none" w:sz="0" w:space="0" w:color="auto"/>
      <w:lang w:eastAsia="es-ES_tradnl"/>
    </w:rPr>
  </w:style>
  <w:style w:type="paragraph" w:styleId="Sinespaciado">
    <w:name w:val="No Spacing"/>
    <w:uiPriority w:val="1"/>
    <w:qFormat/>
    <w:rsid w:val="007D4167"/>
    <w:pPr>
      <w:pBdr>
        <w:top w:val="nil"/>
        <w:left w:val="nil"/>
        <w:bottom w:val="nil"/>
        <w:right w:val="nil"/>
        <w:between w:val="nil"/>
        <w:bar w:val="nil"/>
      </w:pBdr>
      <w:spacing w:after="0" w:line="240" w:lineRule="auto"/>
    </w:pPr>
    <w:rPr>
      <w:rFonts w:ascii="Calibri" w:eastAsia="Calibri" w:hAnsi="Calibri" w:cs="Calibri"/>
      <w:i/>
      <w:color w:val="002060"/>
      <w:sz w:val="24"/>
      <w:u w:color="000000"/>
      <w:bdr w:val="nil"/>
      <w:lang w:val="es-ES_tradnl" w:eastAsia="es-ES"/>
    </w:rPr>
  </w:style>
  <w:style w:type="paragraph" w:customStyle="1" w:styleId="Normal1">
    <w:name w:val="Normal1"/>
    <w:rsid w:val="00676961"/>
    <w:pPr>
      <w:pBdr>
        <w:top w:val="nil"/>
        <w:left w:val="nil"/>
        <w:bottom w:val="nil"/>
        <w:right w:val="nil"/>
        <w:between w:val="nil"/>
      </w:pBdr>
      <w:spacing w:after="200" w:line="276" w:lineRule="auto"/>
    </w:pPr>
    <w:rPr>
      <w:rFonts w:ascii="Calibri" w:eastAsia="Calibri" w:hAnsi="Calibri" w:cs="Calibri"/>
      <w:color w:val="000000"/>
      <w:lang w:val="es-ES" w:eastAsia="es-ES"/>
    </w:rPr>
  </w:style>
  <w:style w:type="character" w:styleId="Nmerodepgina">
    <w:name w:val="page number"/>
    <w:basedOn w:val="Fuentedeprrafopredeter"/>
    <w:uiPriority w:val="99"/>
    <w:semiHidden/>
    <w:unhideWhenUsed/>
    <w:rsid w:val="00676961"/>
  </w:style>
  <w:style w:type="paragraph" w:customStyle="1" w:styleId="Cuerpo">
    <w:name w:val="Cuerpo"/>
    <w:rsid w:val="00676961"/>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s-ES_tradnl" w:eastAsia="es-ES"/>
    </w:rPr>
  </w:style>
  <w:style w:type="paragraph" w:styleId="Prrafodelista">
    <w:name w:val="List Paragraph"/>
    <w:basedOn w:val="Normal"/>
    <w:uiPriority w:val="34"/>
    <w:qFormat/>
    <w:rsid w:val="00146862"/>
    <w:pPr>
      <w:ind w:left="720"/>
      <w:contextualSpacing/>
    </w:pPr>
  </w:style>
  <w:style w:type="table" w:styleId="Tablaconcuadrcula">
    <w:name w:val="Table Grid"/>
    <w:basedOn w:val="Tablanormal"/>
    <w:uiPriority w:val="39"/>
    <w:rsid w:val="00C21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1E4A13"/>
    <w:rPr>
      <w:rFonts w:ascii="Times New Roman" w:eastAsia="Times New Roman" w:hAnsi="Times New Roman" w:cs="Times New Roman"/>
      <w:b/>
      <w:bCs/>
      <w:sz w:val="24"/>
      <w:szCs w:val="24"/>
      <w:lang w:val="es-MX" w:eastAsia="es-MX"/>
    </w:rPr>
  </w:style>
  <w:style w:type="character" w:customStyle="1" w:styleId="Ttulo1Car">
    <w:name w:val="Título 1 Car"/>
    <w:basedOn w:val="Fuentedeprrafopredeter"/>
    <w:link w:val="Ttulo1"/>
    <w:uiPriority w:val="9"/>
    <w:rsid w:val="00056585"/>
    <w:rPr>
      <w:rFonts w:asciiTheme="majorHAnsi" w:eastAsiaTheme="majorEastAsia" w:hAnsiTheme="majorHAnsi" w:cstheme="majorBidi"/>
      <w:color w:val="2E74B5" w:themeColor="accent1" w:themeShade="BF"/>
      <w:sz w:val="32"/>
      <w:szCs w:val="32"/>
      <w:u w:color="000000"/>
      <w:bdr w:val="nil"/>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67079">
      <w:bodyDiv w:val="1"/>
      <w:marLeft w:val="0"/>
      <w:marRight w:val="0"/>
      <w:marTop w:val="0"/>
      <w:marBottom w:val="0"/>
      <w:divBdr>
        <w:top w:val="none" w:sz="0" w:space="0" w:color="auto"/>
        <w:left w:val="none" w:sz="0" w:space="0" w:color="auto"/>
        <w:bottom w:val="none" w:sz="0" w:space="0" w:color="auto"/>
        <w:right w:val="none" w:sz="0" w:space="0" w:color="auto"/>
      </w:divBdr>
    </w:div>
    <w:div w:id="127935266">
      <w:bodyDiv w:val="1"/>
      <w:marLeft w:val="0"/>
      <w:marRight w:val="0"/>
      <w:marTop w:val="0"/>
      <w:marBottom w:val="0"/>
      <w:divBdr>
        <w:top w:val="none" w:sz="0" w:space="0" w:color="auto"/>
        <w:left w:val="none" w:sz="0" w:space="0" w:color="auto"/>
        <w:bottom w:val="none" w:sz="0" w:space="0" w:color="auto"/>
        <w:right w:val="none" w:sz="0" w:space="0" w:color="auto"/>
      </w:divBdr>
    </w:div>
    <w:div w:id="206843978">
      <w:bodyDiv w:val="1"/>
      <w:marLeft w:val="0"/>
      <w:marRight w:val="0"/>
      <w:marTop w:val="0"/>
      <w:marBottom w:val="0"/>
      <w:divBdr>
        <w:top w:val="none" w:sz="0" w:space="0" w:color="auto"/>
        <w:left w:val="none" w:sz="0" w:space="0" w:color="auto"/>
        <w:bottom w:val="none" w:sz="0" w:space="0" w:color="auto"/>
        <w:right w:val="none" w:sz="0" w:space="0" w:color="auto"/>
      </w:divBdr>
    </w:div>
    <w:div w:id="383331511">
      <w:bodyDiv w:val="1"/>
      <w:marLeft w:val="0"/>
      <w:marRight w:val="0"/>
      <w:marTop w:val="0"/>
      <w:marBottom w:val="0"/>
      <w:divBdr>
        <w:top w:val="none" w:sz="0" w:space="0" w:color="auto"/>
        <w:left w:val="none" w:sz="0" w:space="0" w:color="auto"/>
        <w:bottom w:val="none" w:sz="0" w:space="0" w:color="auto"/>
        <w:right w:val="none" w:sz="0" w:space="0" w:color="auto"/>
      </w:divBdr>
    </w:div>
    <w:div w:id="666980808">
      <w:bodyDiv w:val="1"/>
      <w:marLeft w:val="0"/>
      <w:marRight w:val="0"/>
      <w:marTop w:val="0"/>
      <w:marBottom w:val="0"/>
      <w:divBdr>
        <w:top w:val="none" w:sz="0" w:space="0" w:color="auto"/>
        <w:left w:val="none" w:sz="0" w:space="0" w:color="auto"/>
        <w:bottom w:val="none" w:sz="0" w:space="0" w:color="auto"/>
        <w:right w:val="none" w:sz="0" w:space="0" w:color="auto"/>
      </w:divBdr>
    </w:div>
    <w:div w:id="724716759">
      <w:bodyDiv w:val="1"/>
      <w:marLeft w:val="0"/>
      <w:marRight w:val="0"/>
      <w:marTop w:val="0"/>
      <w:marBottom w:val="0"/>
      <w:divBdr>
        <w:top w:val="none" w:sz="0" w:space="0" w:color="auto"/>
        <w:left w:val="none" w:sz="0" w:space="0" w:color="auto"/>
        <w:bottom w:val="none" w:sz="0" w:space="0" w:color="auto"/>
        <w:right w:val="none" w:sz="0" w:space="0" w:color="auto"/>
      </w:divBdr>
    </w:div>
    <w:div w:id="788595559">
      <w:bodyDiv w:val="1"/>
      <w:marLeft w:val="0"/>
      <w:marRight w:val="0"/>
      <w:marTop w:val="0"/>
      <w:marBottom w:val="0"/>
      <w:divBdr>
        <w:top w:val="none" w:sz="0" w:space="0" w:color="auto"/>
        <w:left w:val="none" w:sz="0" w:space="0" w:color="auto"/>
        <w:bottom w:val="none" w:sz="0" w:space="0" w:color="auto"/>
        <w:right w:val="none" w:sz="0" w:space="0" w:color="auto"/>
      </w:divBdr>
    </w:div>
    <w:div w:id="804855148">
      <w:bodyDiv w:val="1"/>
      <w:marLeft w:val="0"/>
      <w:marRight w:val="0"/>
      <w:marTop w:val="0"/>
      <w:marBottom w:val="0"/>
      <w:divBdr>
        <w:top w:val="none" w:sz="0" w:space="0" w:color="auto"/>
        <w:left w:val="none" w:sz="0" w:space="0" w:color="auto"/>
        <w:bottom w:val="none" w:sz="0" w:space="0" w:color="auto"/>
        <w:right w:val="none" w:sz="0" w:space="0" w:color="auto"/>
      </w:divBdr>
    </w:div>
    <w:div w:id="981352712">
      <w:bodyDiv w:val="1"/>
      <w:marLeft w:val="0"/>
      <w:marRight w:val="0"/>
      <w:marTop w:val="0"/>
      <w:marBottom w:val="0"/>
      <w:divBdr>
        <w:top w:val="none" w:sz="0" w:space="0" w:color="auto"/>
        <w:left w:val="none" w:sz="0" w:space="0" w:color="auto"/>
        <w:bottom w:val="none" w:sz="0" w:space="0" w:color="auto"/>
        <w:right w:val="none" w:sz="0" w:space="0" w:color="auto"/>
      </w:divBdr>
    </w:div>
    <w:div w:id="992221284">
      <w:bodyDiv w:val="1"/>
      <w:marLeft w:val="0"/>
      <w:marRight w:val="0"/>
      <w:marTop w:val="0"/>
      <w:marBottom w:val="0"/>
      <w:divBdr>
        <w:top w:val="none" w:sz="0" w:space="0" w:color="auto"/>
        <w:left w:val="none" w:sz="0" w:space="0" w:color="auto"/>
        <w:bottom w:val="none" w:sz="0" w:space="0" w:color="auto"/>
        <w:right w:val="none" w:sz="0" w:space="0" w:color="auto"/>
      </w:divBdr>
      <w:divsChild>
        <w:div w:id="466361765">
          <w:marLeft w:val="0"/>
          <w:marRight w:val="0"/>
          <w:marTop w:val="0"/>
          <w:marBottom w:val="0"/>
          <w:divBdr>
            <w:top w:val="single" w:sz="2" w:space="0" w:color="000000"/>
            <w:left w:val="single" w:sz="2" w:space="0" w:color="000000"/>
            <w:bottom w:val="single" w:sz="2" w:space="0" w:color="000000"/>
            <w:right w:val="single" w:sz="2" w:space="0" w:color="000000"/>
          </w:divBdr>
        </w:div>
        <w:div w:id="1195658391">
          <w:marLeft w:val="0"/>
          <w:marRight w:val="0"/>
          <w:marTop w:val="0"/>
          <w:marBottom w:val="0"/>
          <w:divBdr>
            <w:top w:val="single" w:sz="2" w:space="0" w:color="000000"/>
            <w:left w:val="single" w:sz="2" w:space="0" w:color="000000"/>
            <w:bottom w:val="single" w:sz="2" w:space="0" w:color="000000"/>
            <w:right w:val="single" w:sz="2" w:space="0" w:color="000000"/>
          </w:divBdr>
        </w:div>
        <w:div w:id="12537072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24211459">
      <w:bodyDiv w:val="1"/>
      <w:marLeft w:val="0"/>
      <w:marRight w:val="0"/>
      <w:marTop w:val="0"/>
      <w:marBottom w:val="0"/>
      <w:divBdr>
        <w:top w:val="none" w:sz="0" w:space="0" w:color="auto"/>
        <w:left w:val="none" w:sz="0" w:space="0" w:color="auto"/>
        <w:bottom w:val="none" w:sz="0" w:space="0" w:color="auto"/>
        <w:right w:val="none" w:sz="0" w:space="0" w:color="auto"/>
      </w:divBdr>
    </w:div>
    <w:div w:id="1464928697">
      <w:bodyDiv w:val="1"/>
      <w:marLeft w:val="0"/>
      <w:marRight w:val="0"/>
      <w:marTop w:val="0"/>
      <w:marBottom w:val="0"/>
      <w:divBdr>
        <w:top w:val="none" w:sz="0" w:space="0" w:color="auto"/>
        <w:left w:val="none" w:sz="0" w:space="0" w:color="auto"/>
        <w:bottom w:val="none" w:sz="0" w:space="0" w:color="auto"/>
        <w:right w:val="none" w:sz="0" w:space="0" w:color="auto"/>
      </w:divBdr>
    </w:div>
    <w:div w:id="151102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ls.org.ar/web/wp-content/uploads/2016/10/El-impacto-de-las-politicas-de-drogas-en-los-derechos-humanos.-La-experiencia-del-continente-americano..pdf" TargetMode="External"/><Relationship Id="rId13" Type="http://schemas.openxmlformats.org/officeDocument/2006/relationships/hyperlink" Target="https://www.corteidh.or.cr/docs/casos/articulos/seriec_289_esp.pdf" TargetMode="External"/><Relationship Id="rId18" Type="http://schemas.openxmlformats.org/officeDocument/2006/relationships/hyperlink" Target="http://www.corteidh.or.cr/docs/casos/articulos/seriec_251_esp.pdf" TargetMode="External"/><Relationship Id="rId26" Type="http://schemas.openxmlformats.org/officeDocument/2006/relationships/hyperlink" Target="https://www.elespectador.com/opinion/derechos-humanos-y-derecho-de-las-drogas-columna-446339" TargetMode="External"/><Relationship Id="rId3" Type="http://schemas.openxmlformats.org/officeDocument/2006/relationships/styles" Target="styles.xml"/><Relationship Id="rId21" Type="http://schemas.openxmlformats.org/officeDocument/2006/relationships/hyperlink" Target="https://www.undp.org/content/undp/es/home/librarypage/hiv-aids/international-guidelines-on-human-rights-and-drug-policy.html" TargetMode="External"/><Relationship Id="rId7" Type="http://schemas.openxmlformats.org/officeDocument/2006/relationships/endnotes" Target="endnotes.xml"/><Relationship Id="rId12" Type="http://schemas.openxmlformats.org/officeDocument/2006/relationships/hyperlink" Target="http://www.corteidh.or.cr/docs/casos/articulos/seriec_283_esp.pdf" TargetMode="External"/><Relationship Id="rId17" Type="http://schemas.openxmlformats.org/officeDocument/2006/relationships/hyperlink" Target="http://www.corteidh.or.cr/docs/casos/articulos/seriec_140_esp.pdf" TargetMode="External"/><Relationship Id="rId25" Type="http://schemas.openxmlformats.org/officeDocument/2006/relationships/hyperlink" Target="http://www.unodc.org/documents/commissions/CND/CND_Sessions/CND_58/draft_resolutions/ECN72015_L11_17_March_420pm_clean.pdf" TargetMode="External"/><Relationship Id="rId2" Type="http://schemas.openxmlformats.org/officeDocument/2006/relationships/numbering" Target="numbering.xml"/><Relationship Id="rId16" Type="http://schemas.openxmlformats.org/officeDocument/2006/relationships/hyperlink" Target="http://www.corteidh.or.cr/docs/casos/articulos/seriec_275_esp.pdf" TargetMode="External"/><Relationship Id="rId20" Type="http://schemas.openxmlformats.org/officeDocument/2006/relationships/hyperlink" Target="http://www.flacso.edu.mx/sites/default/files/violaciones-ddhh-y-contexto-herramientas-propuestas-para-documentar-investigar.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rteidh.or.cr/docs/casos/articulos/seriec_205_esp.pdf" TargetMode="External"/><Relationship Id="rId24" Type="http://schemas.openxmlformats.org/officeDocument/2006/relationships/hyperlink" Target="https://www.tni.org/es/publicacion/derechos-humanos-y-politicas-de-drogas" TargetMode="External"/><Relationship Id="rId5" Type="http://schemas.openxmlformats.org/officeDocument/2006/relationships/webSettings" Target="webSettings.xml"/><Relationship Id="rId15" Type="http://schemas.openxmlformats.org/officeDocument/2006/relationships/hyperlink" Target="https://www.corteidh.or.cr/docs/casos/articulos/seriec_30_esp.pdf" TargetMode="External"/><Relationship Id="rId23" Type="http://schemas.openxmlformats.org/officeDocument/2006/relationships/hyperlink" Target="https://documents-dds-ny.un.org/doc/UNDOC/GEN/G16/176/94/PDF/G1617694.pdf?OpenElement" TargetMode="External"/><Relationship Id="rId28" Type="http://schemas.openxmlformats.org/officeDocument/2006/relationships/footer" Target="footer1.xml"/><Relationship Id="rId10" Type="http://schemas.openxmlformats.org/officeDocument/2006/relationships/hyperlink" Target="https://corteidh.or.cr/docs/casos/articulos/seriec_282_esp.pdf" TargetMode="External"/><Relationship Id="rId19" Type="http://schemas.openxmlformats.org/officeDocument/2006/relationships/hyperlink" Target="http://www.pensamientopenal.com.ar/system/files/2018/03/doctrina46347.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els.org.ar/drogas/index.html" TargetMode="External"/><Relationship Id="rId14" Type="http://schemas.openxmlformats.org/officeDocument/2006/relationships/hyperlink" Target="https://corteidh.or.cr/docs/casos/articulos/seriec_282_esp.pdf" TargetMode="External"/><Relationship Id="rId22" Type="http://schemas.openxmlformats.org/officeDocument/2006/relationships/hyperlink" Target="https://www.oas.org/es/centro_noticias/comunicado_prensa.asp?sCodigo=D-010" TargetMode="External"/><Relationship Id="rId27" Type="http://schemas.openxmlformats.org/officeDocument/2006/relationships/header" Target="head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corteidh.or.cr/docs/casos/articulos/seriec_282_esp.pdf" TargetMode="External"/><Relationship Id="rId13" Type="http://schemas.openxmlformats.org/officeDocument/2006/relationships/hyperlink" Target="https://www.oas.org/es/centro_noticias/comunicado_prensa.asp?sCodigo=D-010" TargetMode="External"/><Relationship Id="rId18" Type="http://schemas.openxmlformats.org/officeDocument/2006/relationships/hyperlink" Target="https://tbinternet.ohchr.org/_layouts/15/treatybodyexternal/Download.aspx?symbolno=CCPR%2FC%2F%20ARG%2FCO%2F4&amp;Lang=es" TargetMode="External"/><Relationship Id="rId3" Type="http://schemas.openxmlformats.org/officeDocument/2006/relationships/hyperlink" Target="http://www.corteidh.or.cr/docs/casos/articulos/seriec_283_esp.pdf" TargetMode="External"/><Relationship Id="rId21" Type="http://schemas.openxmlformats.org/officeDocument/2006/relationships/hyperlink" Target="https://www.tni.org/es/publicacion/derechos-humanos-y-politicas-de-drogas" TargetMode="External"/><Relationship Id="rId7" Type="http://schemas.openxmlformats.org/officeDocument/2006/relationships/hyperlink" Target="https://corteidh.or.cr/docs/casos/articulos/seriec_282_esp.pdf" TargetMode="External"/><Relationship Id="rId12" Type="http://schemas.openxmlformats.org/officeDocument/2006/relationships/hyperlink" Target="http://www.flacso.edu.mx/sites/default/files/violaciones-ddhh-y-contexto-herramientas-propuestas-para-documentar-investigar.pdf" TargetMode="External"/><Relationship Id="rId17" Type="http://schemas.openxmlformats.org/officeDocument/2006/relationships/hyperlink" Target="https://documents-dds-ny.un.org/doc/UNDOC/GEN/G16/176/94/PDF/G1617694.pdf?OpenElement" TargetMode="External"/><Relationship Id="rId2" Type="http://schemas.openxmlformats.org/officeDocument/2006/relationships/hyperlink" Target="http://www.corteidh.or.cr/docs/casos/articulos/seriec_140_esp.pdf" TargetMode="External"/><Relationship Id="rId16" Type="http://schemas.openxmlformats.org/officeDocument/2006/relationships/hyperlink" Target="http://www.cels.org.ar/drogas/index.html" TargetMode="External"/><Relationship Id="rId20" Type="http://schemas.openxmlformats.org/officeDocument/2006/relationships/hyperlink" Target="https://www.elespectador.com/opinion/derechos-humanos-y-derecho-de-las-drogas-columna-446339" TargetMode="External"/><Relationship Id="rId1" Type="http://schemas.openxmlformats.org/officeDocument/2006/relationships/hyperlink" Target="http://www.corteidh.or.cr/docs/casos/articulos/seriec_275_esp.pdf" TargetMode="External"/><Relationship Id="rId6" Type="http://schemas.openxmlformats.org/officeDocument/2006/relationships/hyperlink" Target="http://www.flacso.edu.mx/sites/default/files/violaciones-ddhh-y-contexto-herramientas-propuestas-para-documentar-investigar.pdf" TargetMode="External"/><Relationship Id="rId11" Type="http://schemas.openxmlformats.org/officeDocument/2006/relationships/hyperlink" Target="https://corteidh.or.cr/docs/casos/articulos/seriec_282_esp.pdf" TargetMode="External"/><Relationship Id="rId5" Type="http://schemas.openxmlformats.org/officeDocument/2006/relationships/hyperlink" Target="http://www.corteidh.or.cr/docs/casos/articulos/seriec_205_esp.pdf" TargetMode="External"/><Relationship Id="rId15" Type="http://schemas.openxmlformats.org/officeDocument/2006/relationships/hyperlink" Target="https://www.cels.org.ar/web/wp-content/uploads/2016/10/El-impacto-de-las-politicas-de-drogas-en-los-derechos-humanos.-La-experiencia-del-continente-americano..pdf" TargetMode="External"/><Relationship Id="rId10" Type="http://schemas.openxmlformats.org/officeDocument/2006/relationships/hyperlink" Target="https://www.corteidh.or.cr/docs/casos/articulos/seriec_30_esp.pdf" TargetMode="External"/><Relationship Id="rId19" Type="http://schemas.openxmlformats.org/officeDocument/2006/relationships/hyperlink" Target="http://www.pensamientopenal.com.ar/system/files/2018/03/doctrina46347.pdf" TargetMode="External"/><Relationship Id="rId4" Type="http://schemas.openxmlformats.org/officeDocument/2006/relationships/hyperlink" Target="http://www.corteidh.or.cr/docs/casos/articulos/seriec_251_esp.pdf" TargetMode="External"/><Relationship Id="rId9" Type="http://schemas.openxmlformats.org/officeDocument/2006/relationships/hyperlink" Target="https://www.corteidh.or.cr/docs/casos/articulos/seriec_289_esp.pdf" TargetMode="External"/><Relationship Id="rId14" Type="http://schemas.openxmlformats.org/officeDocument/2006/relationships/hyperlink" Target="https://www.vocesenelfenix.com/sites/default/files/numero_pdf/fenix42%20baja.pdf" TargetMode="External"/><Relationship Id="rId22" Type="http://schemas.openxmlformats.org/officeDocument/2006/relationships/hyperlink" Target="https://www.undp.org/content/undp/es/home/librarypage/hiv-aids/international-guidelines-on-human-rights-and-drug-policy.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8F451-2BD1-4DD3-96DB-E397EEBA5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9517</Words>
  <Characters>52345</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Muro</dc:creator>
  <cp:keywords/>
  <dc:description/>
  <cp:lastModifiedBy>Adriana Muro </cp:lastModifiedBy>
  <cp:revision>2</cp:revision>
  <dcterms:created xsi:type="dcterms:W3CDTF">2020-12-15T17:54:00Z</dcterms:created>
  <dcterms:modified xsi:type="dcterms:W3CDTF">2020-12-15T17:54:00Z</dcterms:modified>
</cp:coreProperties>
</file>